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2F42" w14:textId="2CB3C1A4" w:rsidR="0055351A" w:rsidRDefault="00990590" w:rsidP="00FF0C17">
      <w:pPr>
        <w:pStyle w:val="Heading1"/>
        <w:pBdr>
          <w:bottom w:val="single" w:sz="6" w:space="1" w:color="auto"/>
        </w:pBdr>
        <w:rPr>
          <w:lang w:val="en-CA"/>
        </w:rPr>
      </w:pPr>
      <w:r>
        <w:rPr>
          <w:lang w:val="en-CA"/>
        </w:rPr>
        <w:t>A</w:t>
      </w:r>
      <w:r w:rsidR="0083676F">
        <w:rPr>
          <w:lang w:val="en-CA"/>
        </w:rPr>
        <w:t xml:space="preserve">RTSSCI </w:t>
      </w:r>
      <w:r>
        <w:rPr>
          <w:lang w:val="en-CA"/>
        </w:rPr>
        <w:t>1C0</w:t>
      </w:r>
      <w:r w:rsidR="00BD57FB">
        <w:rPr>
          <w:lang w:val="en-CA"/>
        </w:rPr>
        <w:t>6</w:t>
      </w:r>
      <w:r w:rsidR="00FF0C17">
        <w:rPr>
          <w:lang w:val="en-CA"/>
        </w:rPr>
        <w:t xml:space="preserve"> –</w:t>
      </w:r>
      <w:r w:rsidR="00360C76">
        <w:rPr>
          <w:lang w:val="en-CA"/>
        </w:rPr>
        <w:t xml:space="preserve"> </w:t>
      </w:r>
      <w:r>
        <w:rPr>
          <w:lang w:val="en-CA"/>
        </w:rPr>
        <w:t>Global Challenges</w:t>
      </w:r>
      <w:r w:rsidR="00360C76">
        <w:rPr>
          <w:lang w:val="en-CA"/>
        </w:rPr>
        <w:t xml:space="preserve"> Inquiry</w:t>
      </w:r>
      <w:r>
        <w:rPr>
          <w:lang w:val="en-CA"/>
        </w:rPr>
        <w:t xml:space="preserve"> (</w:t>
      </w:r>
      <w:r w:rsidR="00832B61">
        <w:rPr>
          <w:lang w:val="en-CA"/>
        </w:rPr>
        <w:t xml:space="preserve">Fall-Winter </w:t>
      </w:r>
      <w:r>
        <w:rPr>
          <w:lang w:val="en-CA"/>
        </w:rPr>
        <w:t>20</w:t>
      </w:r>
      <w:r w:rsidR="006E47C9">
        <w:rPr>
          <w:lang w:val="en-CA"/>
        </w:rPr>
        <w:t>2</w:t>
      </w:r>
      <w:r w:rsidR="00BD57FB">
        <w:rPr>
          <w:lang w:val="en-CA"/>
        </w:rPr>
        <w:t>2</w:t>
      </w:r>
      <w:r w:rsidR="009C05EF">
        <w:rPr>
          <w:lang w:val="en-CA"/>
        </w:rPr>
        <w:t>-2</w:t>
      </w:r>
      <w:r w:rsidR="00BD57FB">
        <w:rPr>
          <w:lang w:val="en-CA"/>
        </w:rPr>
        <w:t>3</w:t>
      </w:r>
      <w:r w:rsidR="00FF0C17">
        <w:rPr>
          <w:lang w:val="en-CA"/>
        </w:rPr>
        <w:t>)</w:t>
      </w:r>
    </w:p>
    <w:p w14:paraId="175FCB80" w14:textId="77777777" w:rsidR="00FF0C17" w:rsidRPr="00FF0C17" w:rsidRDefault="00FF0C17" w:rsidP="00FF0C17"/>
    <w:p w14:paraId="42138C8F" w14:textId="77777777" w:rsidR="00741E00" w:rsidRDefault="00741E00" w:rsidP="00FF0C17">
      <w:pPr>
        <w:pStyle w:val="Heading2"/>
        <w:sectPr w:rsidR="00741E00" w:rsidSect="00644E1C">
          <w:footerReference w:type="default" r:id="rId8"/>
          <w:pgSz w:w="12240" w:h="15840"/>
          <w:pgMar w:top="1440" w:right="1440" w:bottom="1440" w:left="1440" w:header="708" w:footer="708" w:gutter="0"/>
          <w:cols w:space="708"/>
          <w:docGrid w:linePitch="360"/>
        </w:sectPr>
      </w:pPr>
    </w:p>
    <w:tbl>
      <w:tblPr>
        <w:tblStyle w:val="TableGrid"/>
        <w:tblW w:w="13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gridCol w:w="3686"/>
      </w:tblGrid>
      <w:tr w:rsidR="00241561" w14:paraId="0A9E1BC9" w14:textId="36B9F36A" w:rsidTr="00241561">
        <w:tc>
          <w:tcPr>
            <w:tcW w:w="5812" w:type="dxa"/>
          </w:tcPr>
          <w:p w14:paraId="6179610A" w14:textId="77777777" w:rsidR="00241561" w:rsidRDefault="00241561" w:rsidP="00644E1C">
            <w:pPr>
              <w:pStyle w:val="Heading2"/>
            </w:pPr>
            <w:r>
              <w:t>Course Description</w:t>
            </w:r>
          </w:p>
          <w:p w14:paraId="088C9D25" w14:textId="14600BEF" w:rsidR="00241561" w:rsidRPr="00104232" w:rsidRDefault="00241561" w:rsidP="00644E1C">
            <w:pPr>
              <w:rPr>
                <w:highlight w:val="yellow"/>
              </w:rPr>
            </w:pPr>
            <w:r>
              <w:t>This course offers an opportunity to explore and engage with</w:t>
            </w:r>
            <w:r w:rsidRPr="0003347F">
              <w:t xml:space="preserve"> some of the</w:t>
            </w:r>
            <w:r>
              <w:t xml:space="preserve"> most pressing sociopolitical challenges and injustices affecting the contemporary world</w:t>
            </w:r>
            <w:r w:rsidRPr="0003347F">
              <w:t xml:space="preserve">. </w:t>
            </w:r>
            <w:r>
              <w:t>In the first term, we will take up the nature, causes, implications, and intersections</w:t>
            </w:r>
            <w:r w:rsidRPr="0003347F">
              <w:rPr>
                <w:rFonts w:cs="Helvetica"/>
              </w:rPr>
              <w:t xml:space="preserve"> of </w:t>
            </w:r>
            <w:r>
              <w:rPr>
                <w:rFonts w:cs="Helvetica"/>
              </w:rPr>
              <w:t>such challenges, considering a wide range of perspectives on these issues and investigating particular historical and contemporary examples. Building on this foundation, we will then shift our focus (in the Winter term) to questions of response, learning from and analysing</w:t>
            </w:r>
            <w:r w:rsidRPr="0003347F">
              <w:rPr>
                <w:rFonts w:cs="Helvetica"/>
              </w:rPr>
              <w:t xml:space="preserve"> some of the strategies and</w:t>
            </w:r>
            <w:r w:rsidRPr="00943C46">
              <w:rPr>
                <w:rFonts w:cs="Helvetica"/>
              </w:rPr>
              <w:t xml:space="preserve"> approaches deployed by individuals, organizations, and institutions to </w:t>
            </w:r>
            <w:r>
              <w:rPr>
                <w:rFonts w:cs="Helvetica"/>
              </w:rPr>
              <w:t>attempt to rectify and redress</w:t>
            </w:r>
            <w:r w:rsidRPr="00943C46">
              <w:rPr>
                <w:rFonts w:cs="Helvetica"/>
              </w:rPr>
              <w:t xml:space="preserve"> these </w:t>
            </w:r>
            <w:r>
              <w:rPr>
                <w:rFonts w:cs="Helvetica"/>
              </w:rPr>
              <w:t xml:space="preserve">vexing problems. </w:t>
            </w:r>
          </w:p>
          <w:p w14:paraId="1575461F" w14:textId="77777777" w:rsidR="00241561" w:rsidRDefault="00241561" w:rsidP="00644E1C"/>
          <w:p w14:paraId="27F4BE54" w14:textId="7D93E393" w:rsidR="00241561" w:rsidRDefault="00241561" w:rsidP="00644E1C">
            <w:r>
              <w:t>As the course title makes clear, “Global Challenges” is an</w:t>
            </w:r>
            <w:r w:rsidRPr="00104232">
              <w:t xml:space="preserve"> inquiry course, which means that </w:t>
            </w:r>
            <w:r>
              <w:t>considerable emphasis will be placed on students asking and engaging in scholarly exploration of their own questions relevant to the course themes and topics.</w:t>
            </w:r>
            <w:r w:rsidRPr="00104232">
              <w:t xml:space="preserve"> </w:t>
            </w:r>
            <w:r>
              <w:t>While we will provide introductory material and frame discussions, you will be expected to participate actively in class throughout the year, and to complete self-directed, inquiry-based assignments with support and feedback from the course instructors. More than simply a pedagogical approach, this focus on inquiry is tightly connected to the concerns of the course, as the capacity to ask and explore meaningful and significant questions is central to promoting positive social change.</w:t>
            </w:r>
          </w:p>
        </w:tc>
        <w:tc>
          <w:tcPr>
            <w:tcW w:w="3686" w:type="dxa"/>
          </w:tcPr>
          <w:p w14:paraId="63576585" w14:textId="77777777" w:rsidR="00241561" w:rsidRDefault="00241561" w:rsidP="00241561">
            <w:pPr>
              <w:pStyle w:val="Heading2"/>
              <w:spacing w:before="0"/>
              <w:ind w:left="459"/>
            </w:pPr>
            <w:r>
              <w:t>Class Times</w:t>
            </w:r>
          </w:p>
          <w:p w14:paraId="7D2606F7" w14:textId="43D3DB75" w:rsidR="00241561" w:rsidRPr="00241561" w:rsidRDefault="00241561" w:rsidP="0070313B">
            <w:pPr>
              <w:ind w:left="459"/>
              <w:rPr>
                <w:b/>
                <w:bCs/>
              </w:rPr>
            </w:pPr>
            <w:r w:rsidRPr="00241561">
              <w:rPr>
                <w:b/>
                <w:bCs/>
              </w:rPr>
              <w:t>Term 1 (Fall 2022):</w:t>
            </w:r>
          </w:p>
          <w:p w14:paraId="66A87C65" w14:textId="77777777" w:rsidR="00241561" w:rsidRDefault="00241561" w:rsidP="00EE1CAA">
            <w:pPr>
              <w:ind w:left="459"/>
            </w:pPr>
            <w:r>
              <w:t>M 9:30-11:20 (LRW 1057)</w:t>
            </w:r>
          </w:p>
          <w:p w14:paraId="1F2D5667" w14:textId="77777777" w:rsidR="00241561" w:rsidRDefault="00241561" w:rsidP="00EE1CAA">
            <w:pPr>
              <w:ind w:left="459"/>
            </w:pPr>
            <w:r>
              <w:t>T 10:30-11:20</w:t>
            </w:r>
          </w:p>
          <w:p w14:paraId="44FB168D" w14:textId="0DDEF55C" w:rsidR="00241561" w:rsidRDefault="00241561" w:rsidP="00EE1CAA">
            <w:pPr>
              <w:ind w:left="641"/>
            </w:pPr>
            <w:r>
              <w:t>BSB 120 (A-G</w:t>
            </w:r>
            <w:r w:rsidR="009C5207">
              <w:t>or</w:t>
            </w:r>
            <w:r>
              <w:t>)</w:t>
            </w:r>
          </w:p>
          <w:p w14:paraId="5DFD4C44" w14:textId="2C9A69A1" w:rsidR="00241561" w:rsidRDefault="00241561" w:rsidP="00EE1CAA">
            <w:pPr>
              <w:ind w:left="641"/>
            </w:pPr>
            <w:r>
              <w:t>BSB 121 (G</w:t>
            </w:r>
            <w:r w:rsidR="009C5207">
              <w:t>re</w:t>
            </w:r>
            <w:r>
              <w:t>-P</w:t>
            </w:r>
            <w:r w:rsidR="009C5207">
              <w:t>ei</w:t>
            </w:r>
            <w:r>
              <w:t>)</w:t>
            </w:r>
          </w:p>
          <w:p w14:paraId="3E91F164" w14:textId="21CD894D" w:rsidR="00241561" w:rsidRDefault="00C45CB7" w:rsidP="00EE1CAA">
            <w:pPr>
              <w:ind w:left="641"/>
            </w:pPr>
            <w:r>
              <w:t>ETB 227</w:t>
            </w:r>
            <w:r w:rsidR="00241561">
              <w:t xml:space="preserve"> (Pot-Z)</w:t>
            </w:r>
          </w:p>
          <w:p w14:paraId="63239F54" w14:textId="77777777" w:rsidR="00241561" w:rsidRDefault="00241561" w:rsidP="00644E1C">
            <w:pPr>
              <w:ind w:left="459"/>
            </w:pPr>
          </w:p>
          <w:p w14:paraId="3B6D817A" w14:textId="1790F372" w:rsidR="00241561" w:rsidRPr="00241561" w:rsidRDefault="00241561" w:rsidP="00644E1C">
            <w:pPr>
              <w:ind w:left="459"/>
              <w:rPr>
                <w:b/>
                <w:bCs/>
              </w:rPr>
            </w:pPr>
            <w:r w:rsidRPr="00241561">
              <w:rPr>
                <w:b/>
                <w:bCs/>
              </w:rPr>
              <w:t xml:space="preserve">Term 2 (Winter 2023): </w:t>
            </w:r>
          </w:p>
          <w:p w14:paraId="0153AC9B" w14:textId="77777777" w:rsidR="00241561" w:rsidRDefault="00241561" w:rsidP="00EE1CAA">
            <w:pPr>
              <w:ind w:left="459"/>
            </w:pPr>
            <w:r>
              <w:t>M 9:30-11:20 (JHE 326H)</w:t>
            </w:r>
          </w:p>
          <w:p w14:paraId="74A07DA4" w14:textId="62B6291A" w:rsidR="00241561" w:rsidRDefault="00241561" w:rsidP="00EE1CAA">
            <w:pPr>
              <w:ind w:left="459"/>
            </w:pPr>
            <w:r>
              <w:t xml:space="preserve">T 10:30-11:20 </w:t>
            </w:r>
          </w:p>
          <w:p w14:paraId="776A4B07" w14:textId="1636D7C4" w:rsidR="00241561" w:rsidRDefault="00241561" w:rsidP="00EE1CAA">
            <w:pPr>
              <w:ind w:left="641"/>
            </w:pPr>
            <w:r>
              <w:t>KTH B104 (A-G</w:t>
            </w:r>
            <w:r w:rsidR="009C5207">
              <w:t>or</w:t>
            </w:r>
            <w:r>
              <w:t>)</w:t>
            </w:r>
          </w:p>
          <w:p w14:paraId="595CE406" w14:textId="532F0753" w:rsidR="00241561" w:rsidRDefault="00241561" w:rsidP="00EE1CAA">
            <w:pPr>
              <w:ind w:left="641"/>
            </w:pPr>
            <w:r>
              <w:t>KTH B135 (Gr</w:t>
            </w:r>
            <w:r w:rsidR="009C5207">
              <w:t>e</w:t>
            </w:r>
            <w:r>
              <w:t>-P</w:t>
            </w:r>
            <w:r w:rsidR="009C5207">
              <w:t>ei</w:t>
            </w:r>
            <w:r>
              <w:t>)</w:t>
            </w:r>
          </w:p>
          <w:p w14:paraId="1ED8C3BA" w14:textId="0F01674A" w:rsidR="00241561" w:rsidRDefault="00241561" w:rsidP="00241561">
            <w:pPr>
              <w:ind w:left="641"/>
            </w:pPr>
            <w:r>
              <w:t>KTH B10</w:t>
            </w:r>
            <w:r w:rsidR="00802589">
              <w:t>5</w:t>
            </w:r>
            <w:r>
              <w:t xml:space="preserve"> (Pot-Z)</w:t>
            </w:r>
          </w:p>
          <w:p w14:paraId="5C14FC64" w14:textId="77777777" w:rsidR="00241561" w:rsidRDefault="00241561" w:rsidP="00241561">
            <w:pPr>
              <w:ind w:left="641"/>
            </w:pPr>
          </w:p>
          <w:p w14:paraId="538742EE" w14:textId="77777777" w:rsidR="00A3172F" w:rsidRDefault="00241561" w:rsidP="00A3172F">
            <w:pPr>
              <w:pStyle w:val="Heading2"/>
              <w:spacing w:before="0"/>
              <w:ind w:left="459"/>
            </w:pPr>
            <w:r>
              <w:t>Instructors</w:t>
            </w:r>
          </w:p>
          <w:p w14:paraId="4A3E28F5" w14:textId="3D43224A" w:rsidR="00241561" w:rsidRPr="00A3172F" w:rsidRDefault="00241561" w:rsidP="00A3172F">
            <w:pPr>
              <w:pStyle w:val="Heading3"/>
              <w:ind w:left="459"/>
              <w:rPr>
                <w:sz w:val="23"/>
                <w:szCs w:val="23"/>
              </w:rPr>
            </w:pPr>
            <w:r w:rsidRPr="00A3172F">
              <w:rPr>
                <w:sz w:val="23"/>
                <w:szCs w:val="23"/>
              </w:rPr>
              <w:t>Dr. Beth Marquis</w:t>
            </w:r>
          </w:p>
          <w:p w14:paraId="28ECE964" w14:textId="580B4979" w:rsidR="00241561" w:rsidRDefault="00000000" w:rsidP="00644E1C">
            <w:pPr>
              <w:ind w:left="459"/>
            </w:pPr>
            <w:hyperlink r:id="rId9" w:history="1">
              <w:r w:rsidR="00241561" w:rsidRPr="00E66BE5">
                <w:rPr>
                  <w:rStyle w:val="Hyperlink"/>
                </w:rPr>
                <w:t>marquie@mcmaster.ca</w:t>
              </w:r>
            </w:hyperlink>
          </w:p>
          <w:p w14:paraId="7483E791" w14:textId="4CE1E073" w:rsidR="00A3172F" w:rsidRPr="00241561" w:rsidRDefault="00241561" w:rsidP="00A3172F">
            <w:pPr>
              <w:spacing w:before="120"/>
              <w:ind w:left="459" w:right="-57"/>
              <w:rPr>
                <w:i/>
              </w:rPr>
            </w:pPr>
            <w:r w:rsidRPr="00644E1C">
              <w:rPr>
                <w:i/>
              </w:rPr>
              <w:t xml:space="preserve">Office Hours: </w:t>
            </w:r>
            <w:r w:rsidR="00063943">
              <w:rPr>
                <w:i/>
              </w:rPr>
              <w:t>Fri</w:t>
            </w:r>
            <w:r>
              <w:rPr>
                <w:i/>
              </w:rPr>
              <w:t xml:space="preserve">., </w:t>
            </w:r>
            <w:r w:rsidR="00063943">
              <w:rPr>
                <w:i/>
              </w:rPr>
              <w:t>2:</w:t>
            </w:r>
            <w:r>
              <w:rPr>
                <w:i/>
              </w:rPr>
              <w:t>3</w:t>
            </w:r>
            <w:r w:rsidR="00C67B1F">
              <w:rPr>
                <w:i/>
              </w:rPr>
              <w:t>0</w:t>
            </w:r>
            <w:r>
              <w:rPr>
                <w:i/>
              </w:rPr>
              <w:t>-</w:t>
            </w:r>
            <w:r w:rsidR="00063943">
              <w:rPr>
                <w:i/>
              </w:rPr>
              <w:t>4:30</w:t>
            </w:r>
            <w:r>
              <w:rPr>
                <w:i/>
              </w:rPr>
              <w:t>pm (LRW 3038)</w:t>
            </w:r>
            <w:r w:rsidR="00A3172F">
              <w:rPr>
                <w:i/>
              </w:rPr>
              <w:br/>
            </w:r>
          </w:p>
          <w:p w14:paraId="72B7A36F" w14:textId="389EF60E" w:rsidR="00241561" w:rsidRPr="00A3172F" w:rsidRDefault="00241561" w:rsidP="00A3172F">
            <w:pPr>
              <w:pStyle w:val="Heading3"/>
              <w:ind w:left="459"/>
              <w:rPr>
                <w:b/>
                <w:sz w:val="23"/>
                <w:szCs w:val="23"/>
              </w:rPr>
            </w:pPr>
            <w:r w:rsidRPr="00A3172F">
              <w:rPr>
                <w:sz w:val="23"/>
                <w:szCs w:val="23"/>
              </w:rPr>
              <w:t>Dr. Mat Savelli</w:t>
            </w:r>
          </w:p>
          <w:p w14:paraId="753F270F" w14:textId="77FD9AB0" w:rsidR="00241561" w:rsidRDefault="00000000" w:rsidP="00883B6E">
            <w:pPr>
              <w:ind w:left="459" w:right="-57"/>
            </w:pPr>
            <w:hyperlink r:id="rId10" w:history="1">
              <w:r w:rsidR="00241561" w:rsidRPr="00D92619">
                <w:rPr>
                  <w:rStyle w:val="Hyperlink"/>
                </w:rPr>
                <w:t>msavelli@mcmaster.ca</w:t>
              </w:r>
            </w:hyperlink>
          </w:p>
          <w:p w14:paraId="3CDA2D29" w14:textId="31B3CB49" w:rsidR="00241561" w:rsidRDefault="00241561" w:rsidP="006B6A2F">
            <w:pPr>
              <w:spacing w:before="120"/>
              <w:ind w:left="459" w:right="-57"/>
              <w:rPr>
                <w:i/>
              </w:rPr>
            </w:pPr>
            <w:r w:rsidRPr="00644E1C">
              <w:rPr>
                <w:i/>
              </w:rPr>
              <w:t xml:space="preserve">Office Hours: </w:t>
            </w:r>
            <w:r>
              <w:rPr>
                <w:i/>
              </w:rPr>
              <w:t>Tues</w:t>
            </w:r>
            <w:r w:rsidR="00A3172F">
              <w:rPr>
                <w:i/>
              </w:rPr>
              <w:t>.</w:t>
            </w:r>
            <w:r w:rsidR="0037061D">
              <w:rPr>
                <w:i/>
              </w:rPr>
              <w:t>, 1</w:t>
            </w:r>
            <w:r>
              <w:rPr>
                <w:i/>
              </w:rPr>
              <w:t>2:30-</w:t>
            </w:r>
            <w:r w:rsidR="0037061D">
              <w:rPr>
                <w:i/>
              </w:rPr>
              <w:t>1</w:t>
            </w:r>
            <w:r>
              <w:rPr>
                <w:i/>
              </w:rPr>
              <w:t>:30</w:t>
            </w:r>
            <w:r w:rsidR="00A3172F">
              <w:rPr>
                <w:i/>
              </w:rPr>
              <w:t>pm</w:t>
            </w:r>
            <w:r>
              <w:rPr>
                <w:i/>
              </w:rPr>
              <w:t xml:space="preserve"> (KTH 230)</w:t>
            </w:r>
          </w:p>
          <w:p w14:paraId="521F4096" w14:textId="70C0F822" w:rsidR="00241561" w:rsidRPr="00204226" w:rsidRDefault="00241561" w:rsidP="00F34BA9">
            <w:pPr>
              <w:pStyle w:val="Heading2"/>
              <w:spacing w:before="160"/>
              <w:ind w:left="459"/>
              <w:rPr>
                <w:rStyle w:val="Heading3Char"/>
              </w:rPr>
            </w:pPr>
            <w:r w:rsidRPr="002458A5">
              <w:t>T</w:t>
            </w:r>
            <w:r>
              <w:t xml:space="preserve">eaching </w:t>
            </w:r>
            <w:r w:rsidRPr="002458A5">
              <w:t>A</w:t>
            </w:r>
            <w:r>
              <w:t>ssistant</w:t>
            </w:r>
            <w:r w:rsidR="00F34BA9">
              <w:br/>
            </w:r>
            <w:r w:rsidRPr="00204226">
              <w:rPr>
                <w:rStyle w:val="Heading3Char"/>
                <w:sz w:val="23"/>
                <w:szCs w:val="23"/>
              </w:rPr>
              <w:t>Audrey Wu</w:t>
            </w:r>
          </w:p>
          <w:p w14:paraId="7336711B" w14:textId="0DB77ED8" w:rsidR="00241561" w:rsidRPr="00883B6E" w:rsidRDefault="00000000" w:rsidP="00883B6E">
            <w:pPr>
              <w:ind w:left="460"/>
              <w:rPr>
                <w:rFonts w:ascii="Calibri" w:hAnsi="Calibri" w:cs="Calibri"/>
              </w:rPr>
            </w:pPr>
            <w:hyperlink r:id="rId11" w:history="1">
              <w:r w:rsidR="00241561" w:rsidRPr="00D92619">
                <w:rPr>
                  <w:rStyle w:val="Hyperlink"/>
                  <w:rFonts w:ascii="Calibri" w:hAnsi="Calibri" w:cs="Calibri"/>
                </w:rPr>
                <w:t>wut92@mcmaster.ca</w:t>
              </w:r>
            </w:hyperlink>
            <w:r w:rsidR="00241561">
              <w:rPr>
                <w:rFonts w:ascii="Calibri" w:hAnsi="Calibri" w:cs="Calibri"/>
              </w:rPr>
              <w:t xml:space="preserve"> </w:t>
            </w:r>
          </w:p>
        </w:tc>
        <w:tc>
          <w:tcPr>
            <w:tcW w:w="3686" w:type="dxa"/>
          </w:tcPr>
          <w:p w14:paraId="16BBEC92" w14:textId="77777777" w:rsidR="00241561" w:rsidRDefault="00241561" w:rsidP="00644E1C">
            <w:pPr>
              <w:pStyle w:val="Heading2"/>
              <w:ind w:left="459"/>
            </w:pPr>
          </w:p>
        </w:tc>
      </w:tr>
    </w:tbl>
    <w:p w14:paraId="51FD411F" w14:textId="77777777" w:rsidR="00741E00" w:rsidRPr="00883B6E" w:rsidRDefault="00741E00" w:rsidP="00FF0C17">
      <w:pPr>
        <w:rPr>
          <w:b/>
          <w:bCs/>
        </w:rPr>
        <w:sectPr w:rsidR="00741E00" w:rsidRPr="00883B6E" w:rsidSect="00644E1C">
          <w:type w:val="continuous"/>
          <w:pgSz w:w="12240" w:h="15840"/>
          <w:pgMar w:top="1440" w:right="1361" w:bottom="1440" w:left="1440" w:header="709" w:footer="709" w:gutter="0"/>
          <w:cols w:space="708"/>
          <w:docGrid w:linePitch="360"/>
        </w:sectPr>
      </w:pPr>
    </w:p>
    <w:p w14:paraId="33ABF1B1" w14:textId="0A9D29B7" w:rsidR="00104232" w:rsidRDefault="009522A5" w:rsidP="001F43DA">
      <w:pPr>
        <w:pStyle w:val="Heading2"/>
        <w:spacing w:before="0"/>
      </w:pPr>
      <w:r>
        <w:t xml:space="preserve">Course </w:t>
      </w:r>
      <w:r w:rsidR="00104232">
        <w:t>Objectives</w:t>
      </w:r>
    </w:p>
    <w:p w14:paraId="6663D802" w14:textId="77777777" w:rsidR="00104232" w:rsidRPr="006B178F" w:rsidRDefault="00104232" w:rsidP="00104232">
      <w:r w:rsidRPr="006B178F">
        <w:t>Upon successful completion of this course, students should be able to:</w:t>
      </w:r>
    </w:p>
    <w:p w14:paraId="710E9D73" w14:textId="121B2431" w:rsidR="00E331EE" w:rsidRDefault="00E331EE" w:rsidP="00E331EE">
      <w:pPr>
        <w:pStyle w:val="ListParagraph"/>
        <w:numPr>
          <w:ilvl w:val="0"/>
          <w:numId w:val="12"/>
        </w:numPr>
      </w:pPr>
      <w:r>
        <w:t xml:space="preserve">Explain </w:t>
      </w:r>
      <w:r w:rsidR="00990590">
        <w:t xml:space="preserve">and </w:t>
      </w:r>
      <w:r>
        <w:t xml:space="preserve">engage critically with scholarly perspectives on global challenges, applying these in the service of analyzing particular cases and manifestations. </w:t>
      </w:r>
    </w:p>
    <w:p w14:paraId="1F62B439" w14:textId="58BB286E" w:rsidR="00104232" w:rsidRPr="006B178F" w:rsidRDefault="00104232" w:rsidP="00E331EE">
      <w:pPr>
        <w:pStyle w:val="ListParagraph"/>
        <w:numPr>
          <w:ilvl w:val="0"/>
          <w:numId w:val="12"/>
        </w:numPr>
      </w:pPr>
      <w:r w:rsidRPr="006B178F">
        <w:t>Discuss, compare, and evaluate diverse approaches to addressing global challenges and struggling against inequity and injustice.</w:t>
      </w:r>
    </w:p>
    <w:p w14:paraId="28A8ACF9" w14:textId="77777777" w:rsidR="00104232" w:rsidRPr="006B178F" w:rsidRDefault="00104232" w:rsidP="00E331EE">
      <w:pPr>
        <w:pStyle w:val="ListParagraph"/>
        <w:numPr>
          <w:ilvl w:val="0"/>
          <w:numId w:val="12"/>
        </w:numPr>
      </w:pPr>
      <w:r w:rsidRPr="006B178F">
        <w:t>Develop, investigate, and respond effectively to compelling and researchable questions about contemporary global challenges.</w:t>
      </w:r>
    </w:p>
    <w:p w14:paraId="4BBF00CF" w14:textId="6A7DD9F1" w:rsidR="00F15118" w:rsidRPr="006B178F" w:rsidRDefault="00104232" w:rsidP="004A6B32">
      <w:pPr>
        <w:pStyle w:val="ListParagraph"/>
        <w:numPr>
          <w:ilvl w:val="0"/>
          <w:numId w:val="12"/>
        </w:numPr>
      </w:pPr>
      <w:r w:rsidRPr="006B178F">
        <w:t>Construct well-formulated and insightful arguments that demonstrate in depth knowledge of particular (self-selected) cases of injustice and</w:t>
      </w:r>
      <w:r w:rsidR="00990590">
        <w:t>/or</w:t>
      </w:r>
      <w:r w:rsidRPr="006B178F">
        <w:t xml:space="preserve"> responses to injustice.</w:t>
      </w:r>
    </w:p>
    <w:p w14:paraId="63717150" w14:textId="527C5E27" w:rsidR="00F15118" w:rsidRDefault="00F15118" w:rsidP="00F15118">
      <w:pPr>
        <w:pStyle w:val="Heading2"/>
      </w:pPr>
      <w:r>
        <w:lastRenderedPageBreak/>
        <w:t>Course Format</w:t>
      </w:r>
      <w:r w:rsidRPr="006B178F">
        <w:t>:</w:t>
      </w:r>
    </w:p>
    <w:p w14:paraId="0834CE32" w14:textId="32DBE644" w:rsidR="00F15118" w:rsidRPr="00F15118" w:rsidRDefault="00F15118" w:rsidP="00F15118">
      <w:r>
        <w:t>Each week, students are responsible for</w:t>
      </w:r>
      <w:r w:rsidR="002706CB">
        <w:t xml:space="preserve"> (1)</w:t>
      </w:r>
      <w:r>
        <w:t xml:space="preserve"> </w:t>
      </w:r>
      <w:r w:rsidR="0047237C">
        <w:t xml:space="preserve">attending a two hour </w:t>
      </w:r>
      <w:r w:rsidR="00EE1CAA">
        <w:t xml:space="preserve">interactive </w:t>
      </w:r>
      <w:r w:rsidR="0047237C">
        <w:t>lecture</w:t>
      </w:r>
      <w:r>
        <w:t>,</w:t>
      </w:r>
      <w:r w:rsidR="0047237C">
        <w:t xml:space="preserve"> and</w:t>
      </w:r>
      <w:r w:rsidR="00AD5AE2">
        <w:t xml:space="preserve"> (2)</w:t>
      </w:r>
      <w:r>
        <w:t xml:space="preserve"> attending a </w:t>
      </w:r>
      <w:r w:rsidR="0047237C">
        <w:t>small group discussion</w:t>
      </w:r>
      <w:r w:rsidR="001B15AD">
        <w:t xml:space="preserve"> (details on locations and times can be found above)</w:t>
      </w:r>
      <w:r>
        <w:t xml:space="preserve">. </w:t>
      </w:r>
      <w:r w:rsidR="001B15AD">
        <w:t xml:space="preserve">Each of these classes is considered required, and students are expected to have done the assigned weekly readings in advance of the small group discussions.  </w:t>
      </w:r>
    </w:p>
    <w:p w14:paraId="35A52708" w14:textId="77777777" w:rsidR="00104232" w:rsidRPr="006B178F" w:rsidRDefault="00104232" w:rsidP="00104232"/>
    <w:p w14:paraId="1BD73BB8" w14:textId="77777777" w:rsidR="00104232" w:rsidRPr="006B178F" w:rsidRDefault="00104232" w:rsidP="00104232">
      <w:pPr>
        <w:pStyle w:val="Heading2"/>
      </w:pPr>
      <w:r w:rsidRPr="006B178F">
        <w:t>Required Texts:</w:t>
      </w:r>
    </w:p>
    <w:p w14:paraId="2B1AC535" w14:textId="6EF48071" w:rsidR="00104232" w:rsidRDefault="00104232" w:rsidP="00104232">
      <w:r w:rsidRPr="006B178F">
        <w:t xml:space="preserve">There are no texts to purchase for this </w:t>
      </w:r>
      <w:r w:rsidR="00CF6307">
        <w:t>course</w:t>
      </w:r>
      <w:r w:rsidRPr="006B178F">
        <w:t>; all readings will be accessible through online channels such as public websites and McMaster’s eBook collections and journal databases. Links to these materials will be available on the course Avenue site. See the schedule below for initial reading assignments. Additional readings may be assigned as we move through the term.</w:t>
      </w:r>
    </w:p>
    <w:p w14:paraId="34F05421" w14:textId="77777777" w:rsidR="001F43DA" w:rsidRPr="006B178F" w:rsidRDefault="001F43DA" w:rsidP="00104232"/>
    <w:p w14:paraId="1A282514" w14:textId="0FDF237C" w:rsidR="00104232" w:rsidRPr="006B178F" w:rsidRDefault="00104232" w:rsidP="00104232">
      <w:pPr>
        <w:pStyle w:val="Heading2"/>
      </w:pPr>
      <w:r w:rsidRPr="006B178F">
        <w:t>Assignments and Evaluation</w:t>
      </w:r>
      <w:r w:rsidR="00726CFA">
        <w:t xml:space="preserve"> -</w:t>
      </w:r>
      <w:r w:rsidR="001B15AD">
        <w:t xml:space="preserve"> Term 1</w:t>
      </w:r>
      <w:r w:rsidRPr="006B178F">
        <w:t>:</w:t>
      </w:r>
    </w:p>
    <w:p w14:paraId="6C83016A" w14:textId="77C7FC2D" w:rsidR="004C4D19" w:rsidRPr="006B178F" w:rsidRDefault="004C4D19" w:rsidP="004C4D19">
      <w:r w:rsidRPr="006B178F">
        <w:t>Critical Res</w:t>
      </w:r>
      <w:r>
        <w:t>ponse Paper</w:t>
      </w:r>
      <w:r>
        <w:tab/>
      </w:r>
      <w:r>
        <w:tab/>
      </w:r>
      <w:r>
        <w:tab/>
      </w:r>
      <w:r w:rsidRPr="006B178F">
        <w:t xml:space="preserve">Due </w:t>
      </w:r>
      <w:r w:rsidR="00990590" w:rsidRPr="006E47C9">
        <w:t>Octo</w:t>
      </w:r>
      <w:r w:rsidR="005C6CD6" w:rsidRPr="006E47C9">
        <w:t xml:space="preserve">ber </w:t>
      </w:r>
      <w:r w:rsidR="004A1552">
        <w:t>3</w:t>
      </w:r>
      <w:r w:rsidR="00D53900">
        <w:t xml:space="preserve"> </w:t>
      </w:r>
      <w:r w:rsidRPr="006B178F">
        <w:t>(or before)</w:t>
      </w:r>
      <w:r w:rsidR="00726CFA">
        <w:t xml:space="preserve"> </w:t>
      </w:r>
      <w:r w:rsidR="00726CFA">
        <w:tab/>
      </w:r>
      <w:r w:rsidR="00726CFA">
        <w:tab/>
      </w:r>
      <w:r w:rsidR="00810B1D">
        <w:t xml:space="preserve">= </w:t>
      </w:r>
      <w:r w:rsidR="00214C8A">
        <w:t>10</w:t>
      </w:r>
      <w:r w:rsidRPr="006B178F">
        <w:t>%</w:t>
      </w:r>
    </w:p>
    <w:p w14:paraId="1EAE8C09" w14:textId="73F64086" w:rsidR="004C4D19" w:rsidRDefault="00D56852" w:rsidP="00D56852">
      <w:r w:rsidRPr="006B178F">
        <w:t xml:space="preserve">Capstone </w:t>
      </w:r>
      <w:r w:rsidR="004C4D19">
        <w:t>Development</w:t>
      </w:r>
      <w:r w:rsidRPr="006B178F">
        <w:tab/>
      </w:r>
      <w:r w:rsidRPr="006B178F">
        <w:tab/>
      </w:r>
      <w:r>
        <w:tab/>
      </w:r>
      <w:r w:rsidR="004C4D19">
        <w:tab/>
      </w:r>
    </w:p>
    <w:p w14:paraId="146DBDB7" w14:textId="1C065E9B" w:rsidR="00D56852" w:rsidRPr="00B91A15" w:rsidRDefault="004C4D19" w:rsidP="004C4D19">
      <w:pPr>
        <w:ind w:firstLine="720"/>
      </w:pPr>
      <w:r>
        <w:t>Written Proposal</w:t>
      </w:r>
      <w:r>
        <w:tab/>
      </w:r>
      <w:r>
        <w:tab/>
      </w:r>
      <w:r>
        <w:tab/>
      </w:r>
      <w:r w:rsidR="00D56852" w:rsidRPr="00B91A15">
        <w:t xml:space="preserve">Due </w:t>
      </w:r>
      <w:r w:rsidR="00D56852" w:rsidRPr="006E47C9">
        <w:t xml:space="preserve">October </w:t>
      </w:r>
      <w:r w:rsidR="00D53900">
        <w:t>2</w:t>
      </w:r>
      <w:r w:rsidR="004A1552">
        <w:t>4</w:t>
      </w:r>
      <w:r w:rsidR="00D53900">
        <w:tab/>
      </w:r>
      <w:r w:rsidR="00D56852" w:rsidRPr="00B91A15">
        <w:tab/>
      </w:r>
      <w:r w:rsidRPr="00B91A15">
        <w:tab/>
        <w:t xml:space="preserve">= </w:t>
      </w:r>
      <w:r w:rsidR="00214C8A">
        <w:t>10</w:t>
      </w:r>
      <w:r w:rsidR="00D56852" w:rsidRPr="00B91A15">
        <w:t>%</w:t>
      </w:r>
    </w:p>
    <w:p w14:paraId="5113E13B" w14:textId="5D622E31" w:rsidR="00D56852" w:rsidRPr="00B91A15" w:rsidRDefault="004C4D19" w:rsidP="004C4D19">
      <w:pPr>
        <w:ind w:firstLine="720"/>
      </w:pPr>
      <w:r w:rsidRPr="00B91A15">
        <w:t xml:space="preserve">Discussion of Feedback &amp; Progress </w:t>
      </w:r>
      <w:r w:rsidRPr="00B91A15">
        <w:tab/>
      </w:r>
      <w:r w:rsidR="00737C65" w:rsidRPr="00B91A15">
        <w:t>Week</w:t>
      </w:r>
      <w:r w:rsidR="00726CFA">
        <w:t>s</w:t>
      </w:r>
      <w:r w:rsidR="00737C65" w:rsidRPr="00B91A15">
        <w:t xml:space="preserve"> of </w:t>
      </w:r>
      <w:r w:rsidR="00737C65" w:rsidRPr="006E47C9">
        <w:t xml:space="preserve">November </w:t>
      </w:r>
      <w:r w:rsidR="00726CFA">
        <w:t>21, 28</w:t>
      </w:r>
      <w:r w:rsidR="00D53900">
        <w:tab/>
      </w:r>
      <w:r w:rsidRPr="00B91A15">
        <w:tab/>
        <w:t xml:space="preserve">= </w:t>
      </w:r>
      <w:r w:rsidR="00214C8A">
        <w:t>5</w:t>
      </w:r>
      <w:r w:rsidR="00D56852" w:rsidRPr="00B91A15">
        <w:t>%</w:t>
      </w:r>
    </w:p>
    <w:p w14:paraId="02B486C7" w14:textId="102556C4" w:rsidR="00D56852" w:rsidRPr="006B178F" w:rsidRDefault="00D56852" w:rsidP="00D56852">
      <w:r w:rsidRPr="00B91A15">
        <w:t>Capstone</w:t>
      </w:r>
      <w:r w:rsidR="00F619EF" w:rsidRPr="00B91A15">
        <w:t xml:space="preserve"> Essay</w:t>
      </w:r>
      <w:r w:rsidR="00F619EF" w:rsidRPr="00B91A15">
        <w:tab/>
      </w:r>
      <w:r w:rsidRPr="00B91A15">
        <w:tab/>
      </w:r>
      <w:r w:rsidRPr="00B91A15">
        <w:tab/>
      </w:r>
      <w:r w:rsidR="004C4D19" w:rsidRPr="00B91A15">
        <w:tab/>
      </w:r>
      <w:r w:rsidRPr="00B91A15">
        <w:t xml:space="preserve">Due </w:t>
      </w:r>
      <w:r w:rsidRPr="006E47C9">
        <w:t xml:space="preserve">December </w:t>
      </w:r>
      <w:r w:rsidR="00726CFA">
        <w:t>12</w:t>
      </w:r>
      <w:r w:rsidR="00D53900">
        <w:tab/>
      </w:r>
      <w:r w:rsidRPr="006B178F">
        <w:tab/>
      </w:r>
      <w:r w:rsidR="004C4D19">
        <w:tab/>
        <w:t xml:space="preserve">= </w:t>
      </w:r>
      <w:r w:rsidR="00214C8A">
        <w:t>25</w:t>
      </w:r>
      <w:r w:rsidRPr="006B178F">
        <w:t>%</w:t>
      </w:r>
    </w:p>
    <w:p w14:paraId="66B1161F" w14:textId="50E84A8A" w:rsidR="00D56852" w:rsidRDefault="00D56852" w:rsidP="00104232">
      <w:pPr>
        <w:pStyle w:val="Heading2"/>
        <w:rPr>
          <w:rFonts w:asciiTheme="minorHAnsi" w:hAnsiTheme="minorHAnsi"/>
          <w:sz w:val="24"/>
          <w:szCs w:val="24"/>
        </w:rPr>
      </w:pPr>
    </w:p>
    <w:p w14:paraId="46F801CB" w14:textId="0478622E" w:rsidR="001B15AD" w:rsidRPr="001B15AD" w:rsidRDefault="001B15AD" w:rsidP="00F34BA9">
      <w:pPr>
        <w:pStyle w:val="Heading2"/>
      </w:pPr>
      <w:r w:rsidRPr="001B15AD">
        <w:t>Assignments and Evaluation</w:t>
      </w:r>
      <w:r w:rsidR="00726CFA">
        <w:t xml:space="preserve"> -</w:t>
      </w:r>
      <w:r w:rsidRPr="001B15AD">
        <w:t xml:space="preserve"> Term </w:t>
      </w:r>
      <w:r>
        <w:t>2</w:t>
      </w:r>
      <w:r w:rsidRPr="001B15AD">
        <w:t>:</w:t>
      </w:r>
    </w:p>
    <w:p w14:paraId="3369A8F5" w14:textId="228F2720" w:rsidR="001B15AD" w:rsidRDefault="001B15AD" w:rsidP="001B15AD">
      <w:r>
        <w:t>Written Proposal</w:t>
      </w:r>
      <w:r>
        <w:tab/>
      </w:r>
      <w:r>
        <w:tab/>
      </w:r>
      <w:r>
        <w:tab/>
      </w:r>
      <w:r>
        <w:tab/>
        <w:t xml:space="preserve">Due </w:t>
      </w:r>
      <w:r w:rsidR="004A1552">
        <w:t>February 13</w:t>
      </w:r>
      <w:r>
        <w:t xml:space="preserve"> (or before</w:t>
      </w:r>
      <w:r w:rsidR="00726CFA">
        <w:t xml:space="preserve">) </w:t>
      </w:r>
      <w:r w:rsidR="00726CFA">
        <w:tab/>
      </w:r>
      <w:r w:rsidR="00726CFA">
        <w:tab/>
      </w:r>
      <w:r>
        <w:t xml:space="preserve">= </w:t>
      </w:r>
      <w:r w:rsidR="00214C8A">
        <w:t>10</w:t>
      </w:r>
      <w:r>
        <w:t>%</w:t>
      </w:r>
    </w:p>
    <w:p w14:paraId="77837B2B" w14:textId="06EFEFF0" w:rsidR="001B15AD" w:rsidRDefault="001B15AD" w:rsidP="001B15AD">
      <w:r>
        <w:t>Poster Session</w:t>
      </w:r>
      <w:r>
        <w:tab/>
      </w:r>
      <w:r>
        <w:tab/>
      </w:r>
      <w:r>
        <w:tab/>
      </w:r>
      <w:r>
        <w:tab/>
      </w:r>
    </w:p>
    <w:p w14:paraId="0A191B5B" w14:textId="7EA68D1B" w:rsidR="001B15AD" w:rsidRDefault="001B15AD" w:rsidP="001B15AD">
      <w:pPr>
        <w:ind w:firstLine="720"/>
      </w:pPr>
      <w:r>
        <w:t>Capstone Poster</w:t>
      </w:r>
      <w:r>
        <w:tab/>
      </w:r>
      <w:r>
        <w:tab/>
      </w:r>
      <w:r>
        <w:tab/>
        <w:t xml:space="preserve">Due </w:t>
      </w:r>
      <w:r w:rsidR="004A1552">
        <w:t>April 2</w:t>
      </w:r>
      <w:r w:rsidR="004A1552">
        <w:tab/>
      </w:r>
      <w:r>
        <w:tab/>
      </w:r>
      <w:r>
        <w:tab/>
      </w:r>
      <w:r>
        <w:tab/>
        <w:t xml:space="preserve">= </w:t>
      </w:r>
      <w:r w:rsidR="00D04BFF">
        <w:t>10</w:t>
      </w:r>
      <w:r>
        <w:t>%</w:t>
      </w:r>
    </w:p>
    <w:p w14:paraId="003B39EB" w14:textId="39BA518A" w:rsidR="001B15AD" w:rsidRDefault="001B15AD" w:rsidP="001B15AD">
      <w:pPr>
        <w:ind w:firstLine="720"/>
      </w:pPr>
      <w:r>
        <w:t xml:space="preserve">Poster Discussion </w:t>
      </w:r>
      <w:r>
        <w:tab/>
      </w:r>
      <w:r>
        <w:tab/>
        <w:t xml:space="preserve"> </w:t>
      </w:r>
      <w:r>
        <w:tab/>
      </w:r>
      <w:r w:rsidR="004A1552">
        <w:t>April 3/4 or 1</w:t>
      </w:r>
      <w:r w:rsidR="001B495B">
        <w:t>0</w:t>
      </w:r>
      <w:r w:rsidR="004A1552">
        <w:t>/1</w:t>
      </w:r>
      <w:r w:rsidR="001B495B">
        <w:t>1</w:t>
      </w:r>
      <w:r w:rsidR="004A1552">
        <w:tab/>
      </w:r>
      <w:r>
        <w:tab/>
      </w:r>
      <w:r>
        <w:tab/>
        <w:t xml:space="preserve">= </w:t>
      </w:r>
      <w:r w:rsidR="00D04BFF">
        <w:t>3</w:t>
      </w:r>
      <w:r>
        <w:t>%</w:t>
      </w:r>
    </w:p>
    <w:p w14:paraId="74641310" w14:textId="5AC7D4A9" w:rsidR="001B15AD" w:rsidRDefault="001B15AD" w:rsidP="001B15AD">
      <w:pPr>
        <w:ind w:firstLine="720"/>
      </w:pPr>
      <w:r>
        <w:t>Poster Response</w:t>
      </w:r>
      <w:r>
        <w:tab/>
      </w:r>
      <w:r>
        <w:tab/>
      </w:r>
      <w:r>
        <w:tab/>
      </w:r>
      <w:r w:rsidR="004A1552">
        <w:t>Due April 1</w:t>
      </w:r>
      <w:r w:rsidR="00DA0911">
        <w:t>2</w:t>
      </w:r>
      <w:r>
        <w:tab/>
      </w:r>
      <w:r>
        <w:tab/>
      </w:r>
      <w:r>
        <w:tab/>
      </w:r>
      <w:r>
        <w:tab/>
        <w:t xml:space="preserve">= </w:t>
      </w:r>
      <w:r w:rsidR="00D04BFF">
        <w:t>2</w:t>
      </w:r>
      <w:r>
        <w:t>%</w:t>
      </w:r>
    </w:p>
    <w:p w14:paraId="7B29A743" w14:textId="5F8AACBA" w:rsidR="001B15AD" w:rsidRDefault="001B15AD" w:rsidP="001B15AD">
      <w:r>
        <w:t>Capstone Essay</w:t>
      </w:r>
      <w:r>
        <w:tab/>
      </w:r>
      <w:r>
        <w:tab/>
      </w:r>
      <w:r>
        <w:tab/>
      </w:r>
      <w:r>
        <w:tab/>
        <w:t xml:space="preserve">Due </w:t>
      </w:r>
      <w:r w:rsidR="004A1552">
        <w:t>April 15</w:t>
      </w:r>
      <w:r w:rsidR="004A1552">
        <w:tab/>
      </w:r>
      <w:r>
        <w:tab/>
      </w:r>
      <w:r>
        <w:tab/>
      </w:r>
      <w:r>
        <w:tab/>
        <w:t xml:space="preserve">= </w:t>
      </w:r>
      <w:r w:rsidR="00214C8A">
        <w:t>25</w:t>
      </w:r>
      <w:r>
        <w:t>%</w:t>
      </w:r>
    </w:p>
    <w:p w14:paraId="7A807595" w14:textId="77777777" w:rsidR="001B15AD" w:rsidRPr="001B15AD" w:rsidRDefault="001B15AD" w:rsidP="001B15AD"/>
    <w:p w14:paraId="15108ED5" w14:textId="7AC44292" w:rsidR="00104232" w:rsidRPr="00F34BA9" w:rsidRDefault="00104232" w:rsidP="00F34BA9">
      <w:pPr>
        <w:pStyle w:val="Heading2"/>
      </w:pPr>
      <w:r w:rsidRPr="00F34BA9">
        <w:t>Assignment Descriptions &amp; Evaluation Criteria:</w:t>
      </w:r>
    </w:p>
    <w:p w14:paraId="789F8F91" w14:textId="77777777" w:rsidR="00F25253" w:rsidRDefault="00F25253" w:rsidP="00F25253"/>
    <w:p w14:paraId="563AD5EC" w14:textId="0A36EFF0" w:rsidR="00F25253" w:rsidRPr="00F25253" w:rsidRDefault="00F25253" w:rsidP="00F34BA9">
      <w:pPr>
        <w:pStyle w:val="Heading3"/>
      </w:pPr>
      <w:r w:rsidRPr="00F25253">
        <w:t>Term 1</w:t>
      </w:r>
    </w:p>
    <w:p w14:paraId="37444A23" w14:textId="29674B66" w:rsidR="00104232" w:rsidRPr="000B5434" w:rsidRDefault="00D56852" w:rsidP="00F34BA9">
      <w:pPr>
        <w:pStyle w:val="Heading4-1C"/>
      </w:pPr>
      <w:r w:rsidRPr="000B5434">
        <w:t>Capstone Proposal</w:t>
      </w:r>
      <w:r w:rsidR="004C4D19" w:rsidRPr="000B5434">
        <w:t xml:space="preserve"> (</w:t>
      </w:r>
      <w:r w:rsidR="00F25253">
        <w:t>10</w:t>
      </w:r>
      <w:r w:rsidR="004C4D19" w:rsidRPr="000B5434">
        <w:t>%), Discussion (</w:t>
      </w:r>
      <w:r w:rsidR="00F25253">
        <w:t>5</w:t>
      </w:r>
      <w:r w:rsidR="004C4D19" w:rsidRPr="000B5434">
        <w:t xml:space="preserve">%) </w:t>
      </w:r>
      <w:r w:rsidR="00104232" w:rsidRPr="000B5434">
        <w:t xml:space="preserve">and Final </w:t>
      </w:r>
      <w:r w:rsidR="00F619EF" w:rsidRPr="000B5434">
        <w:t>Essay</w:t>
      </w:r>
      <w:r w:rsidR="004C4D19" w:rsidRPr="000B5434">
        <w:t xml:space="preserve"> (</w:t>
      </w:r>
      <w:r w:rsidR="00F25253">
        <w:t>25</w:t>
      </w:r>
      <w:r w:rsidR="00104232" w:rsidRPr="000B5434">
        <w:t>%)</w:t>
      </w:r>
    </w:p>
    <w:p w14:paraId="6ADC2E27" w14:textId="1B87CB00" w:rsidR="0094206E" w:rsidRDefault="00104232" w:rsidP="00104232">
      <w:r w:rsidRPr="006B178F">
        <w:t xml:space="preserve">These assignments ask you to develop, investigate, and respond to a researchable question </w:t>
      </w:r>
      <w:r w:rsidR="004C4D19">
        <w:t>of relevance to</w:t>
      </w:r>
      <w:r w:rsidRPr="006B178F">
        <w:t xml:space="preserve"> contemporary global challenge</w:t>
      </w:r>
      <w:r w:rsidR="004C4D19">
        <w:t>s (e.g., an investigation of the causes, understandings, and implications of a particular challenge</w:t>
      </w:r>
      <w:r w:rsidR="00B0297C">
        <w:t xml:space="preserve"> or injustice</w:t>
      </w:r>
      <w:r w:rsidR="004C4D19">
        <w:t>)</w:t>
      </w:r>
      <w:r w:rsidRPr="006B178F">
        <w:t>. You will be required to construct a research question of interest to you, to identify and obtain information relevant to answering the question, to evaluate the validity and appropriateness of the evidence, to draw reasoned conclusions, and to communicate a coherent and persuasive response</w:t>
      </w:r>
      <w:r w:rsidR="004C4D19">
        <w:t xml:space="preserve"> in an</w:t>
      </w:r>
      <w:r w:rsidRPr="006B178F">
        <w:t xml:space="preserve"> essay </w:t>
      </w:r>
      <w:r w:rsidRPr="00D2274B">
        <w:t xml:space="preserve">of </w:t>
      </w:r>
      <w:r w:rsidR="007C5E65" w:rsidRPr="00D2274B">
        <w:t>8-10</w:t>
      </w:r>
      <w:r w:rsidRPr="006B178F">
        <w:t xml:space="preserve"> pages in length</w:t>
      </w:r>
      <w:r w:rsidR="00F976B2">
        <w:t>.</w:t>
      </w:r>
    </w:p>
    <w:p w14:paraId="29142A11" w14:textId="77777777" w:rsidR="001453F5" w:rsidRPr="006B178F" w:rsidRDefault="001453F5" w:rsidP="00104232"/>
    <w:p w14:paraId="30F75577" w14:textId="3418DBEF" w:rsidR="00104232" w:rsidRDefault="00104232" w:rsidP="00104232">
      <w:r w:rsidRPr="006B178F">
        <w:t>As a first step in this process, you will be required</w:t>
      </w:r>
      <w:r w:rsidR="00D56852">
        <w:t xml:space="preserve"> </w:t>
      </w:r>
      <w:r w:rsidR="004C4D19">
        <w:t xml:space="preserve">to submit a </w:t>
      </w:r>
      <w:r w:rsidR="00AC57A6">
        <w:t>3</w:t>
      </w:r>
      <w:r w:rsidRPr="006B178F">
        <w:t xml:space="preserve"> page proposal that outlines your research question and indicates its significance, discusses </w:t>
      </w:r>
      <w:r w:rsidR="004C4D19">
        <w:t xml:space="preserve">and analyses </w:t>
      </w:r>
      <w:r w:rsidRPr="006B178F">
        <w:t xml:space="preserve">literature of </w:t>
      </w:r>
      <w:r w:rsidRPr="006B178F">
        <w:lastRenderedPageBreak/>
        <w:t xml:space="preserve">relevance to this topic (at least 5 sources), and describes your proposed means of researching </w:t>
      </w:r>
      <w:r w:rsidR="001A4B4C">
        <w:t>and responding to your question</w:t>
      </w:r>
      <w:r w:rsidRPr="006B178F">
        <w:t>. The proposal should also include a preliminary bibliography (which should not be included in the page count).</w:t>
      </w:r>
    </w:p>
    <w:p w14:paraId="1FC722CF" w14:textId="77777777" w:rsidR="004C4D19" w:rsidRDefault="004C4D19" w:rsidP="00104232"/>
    <w:p w14:paraId="358F11B4" w14:textId="19579405" w:rsidR="004C4D19" w:rsidRPr="006B178F" w:rsidRDefault="00A800AE" w:rsidP="00104232">
      <w:r w:rsidRPr="00E828FC">
        <w:t>Shortly after receiving your graded proposal, you will be required to participate in a brief discussion of your developing project with one of the course instructors. This discussion will last approximately 10 minutes, and should include a brief summary of your essay’s central argument/idea (as it currently stands), an indication of how you intend to respond to the feedback provided on your proposal, and a discussion of at least one substantive question about your essay’s content (posed by you).</w:t>
      </w:r>
    </w:p>
    <w:p w14:paraId="1B967F4A" w14:textId="2F20FEB9" w:rsidR="00104232" w:rsidRPr="000B5434" w:rsidRDefault="004C4D19" w:rsidP="00F34BA9">
      <w:pPr>
        <w:pStyle w:val="Heading4-1C"/>
      </w:pPr>
      <w:r w:rsidRPr="000B5434">
        <w:t>Critical Response Paper (</w:t>
      </w:r>
      <w:r w:rsidR="00F25253">
        <w:t>10</w:t>
      </w:r>
      <w:r w:rsidR="00104232" w:rsidRPr="000B5434">
        <w:t>%)</w:t>
      </w:r>
    </w:p>
    <w:p w14:paraId="779DF12D" w14:textId="38BA3E76" w:rsidR="00104232" w:rsidRPr="006B178F" w:rsidRDefault="00104232" w:rsidP="00AC57A6">
      <w:r w:rsidRPr="006B178F">
        <w:t xml:space="preserve">For this assignment, you will be required to </w:t>
      </w:r>
      <w:r w:rsidR="006E47C9">
        <w:t>watch an online video (e.g. a documentary or lecture)</w:t>
      </w:r>
      <w:r w:rsidRPr="006B178F">
        <w:t xml:space="preserve"> or </w:t>
      </w:r>
      <w:r w:rsidR="006E47C9">
        <w:t xml:space="preserve">attend an event </w:t>
      </w:r>
      <w:r w:rsidRPr="006B178F">
        <w:t>in the community that speak</w:t>
      </w:r>
      <w:r w:rsidR="004C4D19">
        <w:t>s</w:t>
      </w:r>
      <w:r w:rsidRPr="006B178F">
        <w:t xml:space="preserve"> </w:t>
      </w:r>
      <w:r w:rsidR="006E47C9">
        <w:t xml:space="preserve">broadly </w:t>
      </w:r>
      <w:r w:rsidRPr="006B178F">
        <w:t>to one or more global challenges</w:t>
      </w:r>
      <w:r w:rsidR="006E47C9">
        <w:t>.  Although the instructors may propose some possible options</w:t>
      </w:r>
      <w:r w:rsidRPr="006B178F">
        <w:t xml:space="preserve">, </w:t>
      </w:r>
      <w:r w:rsidR="006E47C9">
        <w:t xml:space="preserve">students are encouraged </w:t>
      </w:r>
      <w:r w:rsidRPr="006B178F">
        <w:t xml:space="preserve">to find and propose possibilities on your own. After </w:t>
      </w:r>
      <w:r w:rsidR="006E47C9">
        <w:t xml:space="preserve">viewing the video or </w:t>
      </w:r>
      <w:r w:rsidRPr="006B178F">
        <w:t xml:space="preserve">attending </w:t>
      </w:r>
      <w:r w:rsidR="004C4D19">
        <w:t>this event</w:t>
      </w:r>
      <w:r w:rsidRPr="006B178F">
        <w:t>, you</w:t>
      </w:r>
      <w:r w:rsidR="004C4D19">
        <w:t xml:space="preserve"> will be expected to write a 3</w:t>
      </w:r>
      <w:r w:rsidRPr="006B178F">
        <w:t xml:space="preserve"> page critical response</w:t>
      </w:r>
      <w:r w:rsidR="004C4D19">
        <w:t xml:space="preserve">, which considers how the </w:t>
      </w:r>
      <w:r w:rsidR="000A0838">
        <w:t>video/</w:t>
      </w:r>
      <w:r w:rsidR="004C4D19">
        <w:t>event</w:t>
      </w:r>
      <w:r w:rsidRPr="006B178F">
        <w:t xml:space="preserve"> resonate</w:t>
      </w:r>
      <w:r w:rsidR="004C4D19">
        <w:t>s</w:t>
      </w:r>
      <w:r w:rsidRPr="006B178F">
        <w:t xml:space="preserve"> with ideas discussed in the course, and </w:t>
      </w:r>
      <w:r w:rsidR="004C4D19">
        <w:t>critically evaluate</w:t>
      </w:r>
      <w:r w:rsidRPr="006B178F">
        <w:t xml:space="preserve"> the </w:t>
      </w:r>
      <w:r w:rsidR="004C4D19">
        <w:t>arguments and strategies</w:t>
      </w:r>
      <w:r w:rsidRPr="006B178F">
        <w:t xml:space="preserve"> taken up or discussed. You</w:t>
      </w:r>
      <w:r w:rsidR="006E47C9">
        <w:t xml:space="preserve"> are</w:t>
      </w:r>
      <w:r w:rsidRPr="006B178F">
        <w:t xml:space="preserve"> encouraged to submit your response paper as soon as possible afte</w:t>
      </w:r>
      <w:r w:rsidR="004C4D19">
        <w:t>r attending your selected event</w:t>
      </w:r>
      <w:r w:rsidR="000A0838">
        <w:t>/viewing the video</w:t>
      </w:r>
      <w:r w:rsidRPr="006B178F">
        <w:t xml:space="preserve">. </w:t>
      </w:r>
    </w:p>
    <w:p w14:paraId="1645F023" w14:textId="2DD22CDD" w:rsidR="00104232" w:rsidRDefault="00104232" w:rsidP="00104232"/>
    <w:p w14:paraId="331A28EF" w14:textId="0E344318" w:rsidR="00F25253" w:rsidRDefault="00F25253" w:rsidP="00F34BA9">
      <w:pPr>
        <w:pStyle w:val="Heading3"/>
      </w:pPr>
      <w:r w:rsidRPr="00F25253">
        <w:t>Term 2</w:t>
      </w:r>
    </w:p>
    <w:p w14:paraId="20268B23" w14:textId="39BFCD50" w:rsidR="00B0297C" w:rsidRPr="000B5434" w:rsidRDefault="00B0297C" w:rsidP="00F34BA9">
      <w:pPr>
        <w:pStyle w:val="Heading4-1C"/>
      </w:pPr>
      <w:r w:rsidRPr="000B5434">
        <w:t>Capstone Proposal (</w:t>
      </w:r>
      <w:r>
        <w:t>10</w:t>
      </w:r>
      <w:r w:rsidRPr="000B5434">
        <w:t>%)</w:t>
      </w:r>
      <w:r>
        <w:t xml:space="preserve"> </w:t>
      </w:r>
      <w:r w:rsidRPr="000B5434">
        <w:t>and Final Essay (</w:t>
      </w:r>
      <w:r>
        <w:t>25</w:t>
      </w:r>
      <w:r w:rsidRPr="000B5434">
        <w:t>%)</w:t>
      </w:r>
    </w:p>
    <w:p w14:paraId="44CFC75B" w14:textId="0AA6F443" w:rsidR="00AC57A6" w:rsidRPr="00AC57A6" w:rsidRDefault="00AC57A6" w:rsidP="00AC57A6">
      <w:pPr>
        <w:rPr>
          <w:rFonts w:cstheme="minorHAnsi"/>
        </w:rPr>
      </w:pPr>
      <w:r w:rsidRPr="00AC57A6">
        <w:rPr>
          <w:rFonts w:cstheme="minorHAnsi"/>
        </w:rPr>
        <w:t xml:space="preserve">These assignments ask you to develop, investigate, and respond to a researchable question of relevance to contemporary global challenges (e.g., an exploration of the strengths, limitations, and ramifications of a strategy for responding to </w:t>
      </w:r>
      <w:r w:rsidR="00B0297C">
        <w:rPr>
          <w:rFonts w:cstheme="minorHAnsi"/>
        </w:rPr>
        <w:t>a particular</w:t>
      </w:r>
      <w:r w:rsidRPr="00AC57A6">
        <w:rPr>
          <w:rFonts w:cstheme="minorHAnsi"/>
        </w:rPr>
        <w:t xml:space="preserve"> challenge). You will be required to construct a research question of interest to you, to identify and obtain information relevant to answering the question, to evaluate the validity and appropriateness of the evidence, to draw reasoned conclusions, and to communicate a coherent and persuasive response in an essay of 8-10 pages in length.</w:t>
      </w:r>
    </w:p>
    <w:p w14:paraId="721FB6F6" w14:textId="77777777" w:rsidR="00AC57A6" w:rsidRPr="00AC57A6" w:rsidRDefault="00AC57A6" w:rsidP="00AC57A6">
      <w:pPr>
        <w:rPr>
          <w:rFonts w:cstheme="minorHAnsi"/>
        </w:rPr>
      </w:pPr>
    </w:p>
    <w:p w14:paraId="7CD0CD8A" w14:textId="0CF1530F" w:rsidR="00F25253" w:rsidRPr="000C3E62" w:rsidRDefault="00AC57A6" w:rsidP="00104232">
      <w:pPr>
        <w:rPr>
          <w:rFonts w:cstheme="minorHAnsi"/>
        </w:rPr>
      </w:pPr>
      <w:r w:rsidRPr="00AC57A6">
        <w:rPr>
          <w:rFonts w:cstheme="minorHAnsi"/>
        </w:rPr>
        <w:t>As a first step in this process, you will be required to submit a 3 page proposal that outlines your research question and indicates its significance, discusses and analyses literature of relevance to this topic (at least 5 sources), and describes your proposed means of researching and responding to your question. The proposal should also include a preliminary bibliography (which should not be included in the page count).</w:t>
      </w:r>
    </w:p>
    <w:p w14:paraId="4343105A" w14:textId="447D1091" w:rsidR="000C3E62" w:rsidRPr="000B5434" w:rsidRDefault="000C3E62" w:rsidP="00F34BA9">
      <w:pPr>
        <w:pStyle w:val="Heading4-1C"/>
      </w:pPr>
      <w:r w:rsidRPr="000B5434">
        <w:t xml:space="preserve">Capstone </w:t>
      </w:r>
      <w:r>
        <w:t>Poster</w:t>
      </w:r>
      <w:r w:rsidRPr="000B5434">
        <w:t xml:space="preserve"> (</w:t>
      </w:r>
      <w:r>
        <w:t>10</w:t>
      </w:r>
      <w:r w:rsidRPr="000B5434">
        <w:t>%)</w:t>
      </w:r>
      <w:r>
        <w:t xml:space="preserve">, Discussion (3%) </w:t>
      </w:r>
      <w:r w:rsidRPr="000B5434">
        <w:t xml:space="preserve">and </w:t>
      </w:r>
      <w:r>
        <w:t>Response</w:t>
      </w:r>
      <w:r w:rsidRPr="000B5434">
        <w:t xml:space="preserve"> (</w:t>
      </w:r>
      <w:r>
        <w:t>2</w:t>
      </w:r>
      <w:r w:rsidRPr="000B5434">
        <w:t>%)</w:t>
      </w:r>
    </w:p>
    <w:p w14:paraId="1053AB75" w14:textId="59BBA1AC" w:rsidR="00D90B39" w:rsidRPr="00D81624" w:rsidRDefault="00D90B39" w:rsidP="00D90B39">
      <w:pPr>
        <w:rPr>
          <w:rFonts w:ascii="Calibri" w:hAnsi="Calibri" w:cs="Calibri"/>
        </w:rPr>
      </w:pPr>
      <w:r w:rsidRPr="00D81624">
        <w:rPr>
          <w:rFonts w:ascii="Calibri" w:hAnsi="Calibri" w:cs="Calibri"/>
        </w:rPr>
        <w:t xml:space="preserve">Near the end of the term, you will be required to participate in a poster session split over 3-4 classes. For this session, you will be asked to communicate the major findings of your capstone through an academic poster. Such posters typically highlight the research question, major argument(s), evidence, and conclusions of an academic paper, as well as any other supplementary material that might be needed for a viewer to make sense of your project. In </w:t>
      </w:r>
      <w:r w:rsidRPr="00D81624">
        <w:rPr>
          <w:rFonts w:ascii="Calibri" w:hAnsi="Calibri" w:cs="Calibri"/>
        </w:rPr>
        <w:lastRenderedPageBreak/>
        <w:t>addition, you will be asked to discuss your poster with one of the instructors during the session</w:t>
      </w:r>
      <w:r>
        <w:rPr>
          <w:rFonts w:ascii="Calibri" w:hAnsi="Calibri" w:cs="Calibri"/>
        </w:rPr>
        <w:t xml:space="preserve"> (for approximately 5 minutes), and with other students in attendance</w:t>
      </w:r>
      <w:r w:rsidRPr="00D81624">
        <w:rPr>
          <w:rFonts w:ascii="Calibri" w:hAnsi="Calibri" w:cs="Calibri"/>
        </w:rPr>
        <w:t>. Finally, you’ll be required to complete a short (1</w:t>
      </w:r>
      <w:r>
        <w:rPr>
          <w:rFonts w:ascii="Calibri" w:hAnsi="Calibri" w:cs="Calibri"/>
        </w:rPr>
        <w:t>p</w:t>
      </w:r>
      <w:r w:rsidRPr="00D81624">
        <w:rPr>
          <w:rFonts w:ascii="Calibri" w:hAnsi="Calibri" w:cs="Calibri"/>
        </w:rPr>
        <w:t xml:space="preserve">) response to another student’s capstone poster, highlighting your response to their argument, as well as any new questions formulated in response to their poster.    </w:t>
      </w:r>
    </w:p>
    <w:p w14:paraId="2D0412D8" w14:textId="77777777" w:rsidR="00D90B39" w:rsidRPr="006B178F" w:rsidRDefault="00D90B39" w:rsidP="00104232"/>
    <w:p w14:paraId="141A19E0" w14:textId="5D769DBA" w:rsidR="00104232" w:rsidRPr="006B178F" w:rsidRDefault="00104232" w:rsidP="00C7214A">
      <w:pPr>
        <w:pStyle w:val="Heading2"/>
        <w:pBdr>
          <w:bottom w:val="single" w:sz="6" w:space="1" w:color="auto"/>
        </w:pBdr>
      </w:pPr>
      <w:r w:rsidRPr="006B178F">
        <w:t>Course Schedule</w:t>
      </w:r>
      <w:r w:rsidRPr="006B178F">
        <w:tab/>
      </w:r>
    </w:p>
    <w:p w14:paraId="5D600C0D" w14:textId="7A37106A" w:rsidR="000A0838" w:rsidRPr="00A3172F" w:rsidRDefault="00F56F22" w:rsidP="00A3172F">
      <w:pPr>
        <w:pStyle w:val="Heading5-1C"/>
      </w:pPr>
      <w:r w:rsidRPr="00A3172F">
        <w:rPr>
          <w:rStyle w:val="Strong"/>
          <w:rFonts w:asciiTheme="minorHAnsi" w:hAnsiTheme="minorHAnsi"/>
          <w:b/>
          <w:bCs w:val="0"/>
          <w:szCs w:val="26"/>
        </w:rPr>
        <w:t xml:space="preserve">September </w:t>
      </w:r>
      <w:r w:rsidR="004A5ABE" w:rsidRPr="00A3172F">
        <w:rPr>
          <w:rStyle w:val="Strong"/>
          <w:rFonts w:asciiTheme="minorHAnsi" w:hAnsiTheme="minorHAnsi"/>
          <w:b/>
          <w:bCs w:val="0"/>
          <w:szCs w:val="26"/>
        </w:rPr>
        <w:t>6</w:t>
      </w:r>
      <w:r w:rsidRPr="00A3172F">
        <w:rPr>
          <w:rStyle w:val="Strong"/>
          <w:rFonts w:asciiTheme="minorHAnsi" w:hAnsiTheme="minorHAnsi"/>
          <w:b/>
          <w:bCs w:val="0"/>
          <w:szCs w:val="26"/>
        </w:rPr>
        <w:t>:</w:t>
      </w:r>
      <w:r w:rsidRPr="00A3172F">
        <w:t xml:space="preserve"> </w:t>
      </w:r>
      <w:r w:rsidR="008911F5" w:rsidRPr="00A3172F">
        <w:t>Introduction to Global Challenges and Inquiry Learning</w:t>
      </w:r>
    </w:p>
    <w:p w14:paraId="37D2AF31" w14:textId="3730930E" w:rsidR="000A0838" w:rsidRPr="00A3172F" w:rsidRDefault="000A0838" w:rsidP="00A3172F">
      <w:pPr>
        <w:pStyle w:val="Heading5-1C"/>
        <w:rPr>
          <w:bCs/>
        </w:rPr>
      </w:pPr>
      <w:r w:rsidRPr="00A3172F">
        <w:rPr>
          <w:rStyle w:val="Strong"/>
          <w:rFonts w:asciiTheme="minorHAnsi" w:hAnsiTheme="minorHAnsi"/>
          <w:b/>
          <w:bCs w:val="0"/>
          <w:szCs w:val="26"/>
        </w:rPr>
        <w:t xml:space="preserve">September </w:t>
      </w:r>
      <w:r w:rsidR="004A5ABE" w:rsidRPr="00A3172F">
        <w:rPr>
          <w:rStyle w:val="Strong"/>
          <w:rFonts w:asciiTheme="minorHAnsi" w:hAnsiTheme="minorHAnsi"/>
          <w:b/>
          <w:bCs w:val="0"/>
          <w:szCs w:val="26"/>
        </w:rPr>
        <w:t>12/13</w:t>
      </w:r>
      <w:r w:rsidRPr="00A3172F">
        <w:rPr>
          <w:rStyle w:val="Strong"/>
          <w:rFonts w:asciiTheme="minorHAnsi" w:hAnsiTheme="minorHAnsi"/>
          <w:b/>
          <w:bCs w:val="0"/>
          <w:szCs w:val="26"/>
        </w:rPr>
        <w:t>:</w:t>
      </w:r>
      <w:r w:rsidRPr="00A3172F">
        <w:rPr>
          <w:bCs/>
        </w:rPr>
        <w:t xml:space="preserve"> </w:t>
      </w:r>
      <w:r w:rsidRPr="00A3172F">
        <w:t>Colonialism &amp; Neocolonialism</w:t>
      </w:r>
    </w:p>
    <w:p w14:paraId="2897C817" w14:textId="77777777" w:rsidR="000A0838" w:rsidRPr="00382212" w:rsidRDefault="000A0838" w:rsidP="00382212">
      <w:pPr>
        <w:pStyle w:val="ListParagraph"/>
        <w:numPr>
          <w:ilvl w:val="0"/>
          <w:numId w:val="18"/>
        </w:numPr>
        <w:rPr>
          <w:rStyle w:val="Strong"/>
          <w:rFonts w:asciiTheme="minorHAnsi" w:hAnsiTheme="minorHAnsi"/>
        </w:rPr>
      </w:pPr>
      <w:r w:rsidRPr="00382212">
        <w:rPr>
          <w:rStyle w:val="Strong"/>
          <w:rFonts w:asciiTheme="minorHAnsi" w:hAnsiTheme="minorHAnsi"/>
        </w:rPr>
        <w:t xml:space="preserve">Required Readings: </w:t>
      </w:r>
    </w:p>
    <w:p w14:paraId="61E3D34D" w14:textId="74C82912" w:rsidR="000A0838" w:rsidRDefault="000A0838" w:rsidP="00382212">
      <w:pPr>
        <w:pStyle w:val="ListParagraph"/>
        <w:numPr>
          <w:ilvl w:val="0"/>
          <w:numId w:val="19"/>
        </w:numPr>
      </w:pPr>
      <w:r>
        <w:t xml:space="preserve">Nkrumah, K. (1965). Introduction to </w:t>
      </w:r>
      <w:r w:rsidRPr="00382212">
        <w:rPr>
          <w:i/>
        </w:rPr>
        <w:t>Neo-Colonialism, The Last Stage of Imperialism</w:t>
      </w:r>
      <w:r>
        <w:t>.</w:t>
      </w:r>
    </w:p>
    <w:p w14:paraId="4F02C1D4" w14:textId="69C90B1A" w:rsidR="000A0838" w:rsidRDefault="00220FD6" w:rsidP="00A3172F">
      <w:pPr>
        <w:pStyle w:val="ListParagraph"/>
        <w:numPr>
          <w:ilvl w:val="0"/>
          <w:numId w:val="19"/>
        </w:numPr>
      </w:pPr>
      <w:r>
        <w:t>Klay Kie</w:t>
      </w:r>
      <w:r w:rsidR="000B68D2">
        <w:t xml:space="preserve">h Jr. </w:t>
      </w:r>
      <w:r w:rsidR="00664AF8">
        <w:t xml:space="preserve">G. </w:t>
      </w:r>
      <w:r w:rsidR="000B68D2">
        <w:t xml:space="preserve">(2012). Neocolonialism: American </w:t>
      </w:r>
      <w:r w:rsidR="00AE1762">
        <w:t>f</w:t>
      </w:r>
      <w:r w:rsidR="000B68D2">
        <w:t xml:space="preserve">oreign </w:t>
      </w:r>
      <w:r w:rsidR="00AE1762">
        <w:t>p</w:t>
      </w:r>
      <w:r w:rsidR="000B68D2">
        <w:t xml:space="preserve">olicy and the </w:t>
      </w:r>
      <w:r w:rsidR="00AE1762">
        <w:t>f</w:t>
      </w:r>
      <w:r w:rsidR="000B68D2">
        <w:t xml:space="preserve">irst Liberian </w:t>
      </w:r>
      <w:r w:rsidR="00AE1762">
        <w:t>c</w:t>
      </w:r>
      <w:r w:rsidR="000B68D2">
        <w:t xml:space="preserve">ivil </w:t>
      </w:r>
      <w:r w:rsidR="00AE1762">
        <w:t>w</w:t>
      </w:r>
      <w:r w:rsidR="000B68D2">
        <w:t xml:space="preserve">ar. </w:t>
      </w:r>
      <w:r w:rsidR="000B68D2" w:rsidRPr="00382212">
        <w:rPr>
          <w:i/>
          <w:iCs/>
        </w:rPr>
        <w:t>Journal of Pan African Studies</w:t>
      </w:r>
      <w:r w:rsidR="000B68D2">
        <w:t xml:space="preserve">, </w:t>
      </w:r>
      <w:r w:rsidR="000B68D2" w:rsidRPr="00F04F3F">
        <w:rPr>
          <w:i/>
          <w:iCs/>
        </w:rPr>
        <w:t>5</w:t>
      </w:r>
      <w:r w:rsidR="000B68D2">
        <w:t>(1), 164-184.</w:t>
      </w:r>
    </w:p>
    <w:p w14:paraId="71C8CBFC" w14:textId="64CB46AF" w:rsidR="00F67F71" w:rsidRPr="00A3172F" w:rsidRDefault="005C6CD6" w:rsidP="00A3172F">
      <w:pPr>
        <w:pStyle w:val="Heading5-1C"/>
      </w:pPr>
      <w:r w:rsidRPr="00A3172F">
        <w:rPr>
          <w:rStyle w:val="Strong"/>
          <w:rFonts w:asciiTheme="minorHAnsi" w:hAnsiTheme="minorHAnsi"/>
          <w:b/>
          <w:bCs w:val="0"/>
          <w:szCs w:val="26"/>
        </w:rPr>
        <w:t xml:space="preserve">September </w:t>
      </w:r>
      <w:r w:rsidR="004A5ABE" w:rsidRPr="00A3172F">
        <w:rPr>
          <w:rStyle w:val="Strong"/>
          <w:rFonts w:asciiTheme="minorHAnsi" w:hAnsiTheme="minorHAnsi"/>
          <w:b/>
          <w:bCs w:val="0"/>
          <w:szCs w:val="26"/>
        </w:rPr>
        <w:t>19/20</w:t>
      </w:r>
      <w:r w:rsidR="00042793" w:rsidRPr="00A3172F">
        <w:rPr>
          <w:rStyle w:val="Strong"/>
          <w:rFonts w:asciiTheme="minorHAnsi" w:hAnsiTheme="minorHAnsi"/>
          <w:b/>
          <w:bCs w:val="0"/>
          <w:szCs w:val="26"/>
        </w:rPr>
        <w:t>:</w:t>
      </w:r>
      <w:r w:rsidR="00042793" w:rsidRPr="00A3172F">
        <w:t xml:space="preserve"> </w:t>
      </w:r>
      <w:r w:rsidR="00F67F71" w:rsidRPr="00A3172F">
        <w:t>Con</w:t>
      </w:r>
      <w:r w:rsidR="00E42B3B" w:rsidRPr="00A3172F">
        <w:t>structing &amp; Enacting Difference</w:t>
      </w:r>
    </w:p>
    <w:p w14:paraId="3F4669E0" w14:textId="77777777" w:rsidR="00F67F71" w:rsidRPr="00123264" w:rsidRDefault="00F67F71" w:rsidP="00F67F71">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1A877C08" w14:textId="602AA221" w:rsidR="006931D1" w:rsidRDefault="006931D1" w:rsidP="00F67F71">
      <w:pPr>
        <w:numPr>
          <w:ilvl w:val="2"/>
          <w:numId w:val="15"/>
        </w:numPr>
        <w:ind w:left="1080"/>
      </w:pPr>
      <w:r>
        <w:t>Fanon</w:t>
      </w:r>
      <w:r w:rsidR="00655945">
        <w:t>, F. (</w:t>
      </w:r>
      <w:r w:rsidR="00EF7DEE">
        <w:t>1952/2013</w:t>
      </w:r>
      <w:r w:rsidR="00655945">
        <w:t>). The fact of Blackness (abridged).</w:t>
      </w:r>
      <w:r w:rsidR="00EF7DEE">
        <w:t xml:space="preserve"> In N. Mirzoeff (ed.). </w:t>
      </w:r>
      <w:r w:rsidR="00EF7DEE">
        <w:rPr>
          <w:i/>
        </w:rPr>
        <w:t>The Visual Culture Reader</w:t>
      </w:r>
      <w:r w:rsidR="00EF7DEE">
        <w:t>, 3</w:t>
      </w:r>
      <w:r w:rsidR="00EF7DEE" w:rsidRPr="00EF7DEE">
        <w:rPr>
          <w:vertAlign w:val="superscript"/>
        </w:rPr>
        <w:t>rd</w:t>
      </w:r>
      <w:r w:rsidR="00EF7DEE">
        <w:t xml:space="preserve"> ed. (pp. 463-465). Routledge.</w:t>
      </w:r>
    </w:p>
    <w:p w14:paraId="394564B1" w14:textId="744041D6" w:rsidR="00EE1CAA" w:rsidRPr="00EE1CAA" w:rsidRDefault="00827E4B" w:rsidP="00B80662">
      <w:pPr>
        <w:numPr>
          <w:ilvl w:val="2"/>
          <w:numId w:val="15"/>
        </w:numPr>
        <w:ind w:left="1080"/>
        <w:rPr>
          <w:b/>
          <w:i/>
        </w:rPr>
      </w:pPr>
      <w:r>
        <w:t xml:space="preserve">Kafer, A. (2013). </w:t>
      </w:r>
      <w:r w:rsidR="00F04F3F">
        <w:t>Selection from Introduction: Imagined futures. In</w:t>
      </w:r>
      <w:r w:rsidR="00EE1CAA">
        <w:t xml:space="preserve"> </w:t>
      </w:r>
      <w:r w:rsidR="00EE1CAA">
        <w:rPr>
          <w:i/>
          <w:iCs/>
        </w:rPr>
        <w:t>Feminist Queer Crip</w:t>
      </w:r>
      <w:r w:rsidR="00F04F3F">
        <w:rPr>
          <w:i/>
          <w:iCs/>
        </w:rPr>
        <w:t xml:space="preserve"> </w:t>
      </w:r>
      <w:r w:rsidR="00F04F3F">
        <w:t>(pp. 10-14). Indiana University Press.</w:t>
      </w:r>
    </w:p>
    <w:p w14:paraId="03236169" w14:textId="2168660A" w:rsidR="00B80662" w:rsidRPr="00A3172F" w:rsidRDefault="00827E4B" w:rsidP="009C770B">
      <w:pPr>
        <w:numPr>
          <w:ilvl w:val="2"/>
          <w:numId w:val="15"/>
        </w:numPr>
        <w:ind w:left="1080"/>
        <w:rPr>
          <w:rStyle w:val="Strong"/>
          <w:rFonts w:asciiTheme="minorHAnsi" w:hAnsiTheme="minorHAnsi" w:cstheme="minorBidi"/>
          <w:bCs w:val="0"/>
          <w:i/>
          <w:color w:val="auto"/>
        </w:rPr>
      </w:pPr>
      <w:r>
        <w:t xml:space="preserve">Simpson, A. (2014). </w:t>
      </w:r>
      <w:r w:rsidR="00ED53BA">
        <w:t xml:space="preserve">Selection from </w:t>
      </w:r>
      <w:r>
        <w:t>Indigenous interruptions. Mohawk Nationhood, citizenship, and the state. In</w:t>
      </w:r>
      <w:r w:rsidR="00EE1CAA">
        <w:t xml:space="preserve"> </w:t>
      </w:r>
      <w:r w:rsidR="00EE1CAA">
        <w:rPr>
          <w:i/>
          <w:iCs/>
        </w:rPr>
        <w:t>Mohawk Interruptus</w:t>
      </w:r>
      <w:r>
        <w:rPr>
          <w:i/>
          <w:iCs/>
        </w:rPr>
        <w:t xml:space="preserve">: Political Life Across the Borders of Settler States </w:t>
      </w:r>
      <w:r>
        <w:t>(pp. 1-33). Duke University Press.</w:t>
      </w:r>
    </w:p>
    <w:p w14:paraId="44F81457" w14:textId="18106CFC" w:rsidR="009C770B" w:rsidRPr="00A3172F" w:rsidRDefault="005C6CD6" w:rsidP="00A3172F">
      <w:pPr>
        <w:pStyle w:val="Heading5-1C"/>
        <w:rPr>
          <w:bCs/>
        </w:rPr>
      </w:pPr>
      <w:r w:rsidRPr="00A3172F">
        <w:rPr>
          <w:rStyle w:val="Strong"/>
          <w:rFonts w:asciiTheme="minorHAnsi" w:hAnsiTheme="minorHAnsi"/>
          <w:b/>
          <w:bCs w:val="0"/>
          <w:szCs w:val="26"/>
        </w:rPr>
        <w:t xml:space="preserve">September </w:t>
      </w:r>
      <w:r w:rsidR="000A0838" w:rsidRPr="00A3172F">
        <w:rPr>
          <w:rStyle w:val="Strong"/>
          <w:rFonts w:asciiTheme="minorHAnsi" w:hAnsiTheme="minorHAnsi"/>
          <w:b/>
          <w:bCs w:val="0"/>
          <w:szCs w:val="26"/>
        </w:rPr>
        <w:t>2</w:t>
      </w:r>
      <w:r w:rsidR="004A5ABE" w:rsidRPr="00A3172F">
        <w:rPr>
          <w:rStyle w:val="Strong"/>
          <w:rFonts w:asciiTheme="minorHAnsi" w:hAnsiTheme="minorHAnsi"/>
          <w:b/>
          <w:bCs w:val="0"/>
          <w:szCs w:val="26"/>
        </w:rPr>
        <w:t>6/27</w:t>
      </w:r>
      <w:r w:rsidR="00042793" w:rsidRPr="00A3172F">
        <w:rPr>
          <w:rStyle w:val="Strong"/>
          <w:rFonts w:asciiTheme="minorHAnsi" w:hAnsiTheme="minorHAnsi"/>
          <w:b/>
          <w:bCs w:val="0"/>
          <w:szCs w:val="26"/>
        </w:rPr>
        <w:t>:</w:t>
      </w:r>
      <w:r w:rsidR="00042793" w:rsidRPr="00A3172F">
        <w:rPr>
          <w:bCs/>
        </w:rPr>
        <w:t xml:space="preserve"> </w:t>
      </w:r>
      <w:r w:rsidR="009C770B" w:rsidRPr="00A3172F">
        <w:t>Globalizing the Human Experience</w:t>
      </w:r>
    </w:p>
    <w:p w14:paraId="7C311828" w14:textId="77777777" w:rsidR="009C770B" w:rsidRPr="00123264" w:rsidRDefault="009C770B" w:rsidP="009C770B">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6DF6BB91" w14:textId="77777777" w:rsidR="000B5434" w:rsidRDefault="009C770B" w:rsidP="000B5434">
      <w:pPr>
        <w:numPr>
          <w:ilvl w:val="2"/>
          <w:numId w:val="15"/>
        </w:numPr>
        <w:ind w:left="1080"/>
      </w:pPr>
      <w:r w:rsidRPr="00E42B3B">
        <w:t>Ritzer</w:t>
      </w:r>
      <w:r w:rsidR="00787BEA" w:rsidRPr="00E42B3B">
        <w:t>, G.</w:t>
      </w:r>
      <w:r w:rsidRPr="00E42B3B">
        <w:t xml:space="preserve"> </w:t>
      </w:r>
      <w:r w:rsidR="00787BEA" w:rsidRPr="00E42B3B">
        <w:t xml:space="preserve">&amp; </w:t>
      </w:r>
      <w:r w:rsidRPr="00E42B3B">
        <w:t>Ryan,</w:t>
      </w:r>
      <w:r w:rsidR="00787BEA" w:rsidRPr="00E42B3B">
        <w:t xml:space="preserve"> M. (2003). The globalization of nothing.</w:t>
      </w:r>
      <w:r w:rsidRPr="00E42B3B">
        <w:t xml:space="preserve"> </w:t>
      </w:r>
      <w:r w:rsidRPr="00E42B3B">
        <w:rPr>
          <w:i/>
        </w:rPr>
        <w:t>Social Thought and Research</w:t>
      </w:r>
      <w:r w:rsidR="00787BEA" w:rsidRPr="00E42B3B">
        <w:t xml:space="preserve">, </w:t>
      </w:r>
      <w:r w:rsidRPr="00E42B3B">
        <w:rPr>
          <w:i/>
        </w:rPr>
        <w:t>25</w:t>
      </w:r>
      <w:r w:rsidR="00787BEA" w:rsidRPr="00E42B3B">
        <w:t xml:space="preserve">, </w:t>
      </w:r>
      <w:r w:rsidRPr="00E42B3B">
        <w:t>51-81</w:t>
      </w:r>
      <w:r w:rsidR="000B5434">
        <w:t>.</w:t>
      </w:r>
    </w:p>
    <w:p w14:paraId="08C21A2B" w14:textId="668C3EB0" w:rsidR="000B5434" w:rsidRPr="00A3172F" w:rsidRDefault="000B5434" w:rsidP="000B5434">
      <w:pPr>
        <w:numPr>
          <w:ilvl w:val="2"/>
          <w:numId w:val="15"/>
        </w:numPr>
        <w:ind w:left="1080"/>
        <w:rPr>
          <w:rStyle w:val="Strong"/>
          <w:rFonts w:asciiTheme="minorHAnsi" w:hAnsiTheme="minorHAnsi" w:cstheme="minorBidi"/>
          <w:b w:val="0"/>
          <w:bCs w:val="0"/>
          <w:color w:val="auto"/>
        </w:rPr>
      </w:pPr>
      <w:r w:rsidRPr="000B5434">
        <w:rPr>
          <w:rFonts w:ascii="Calibri" w:hAnsi="Calibri" w:cs="Arial"/>
          <w:color w:val="1A1A1A"/>
        </w:rPr>
        <w:t>Harvey, D. (2007). Neoliberalism as creative destruction. </w:t>
      </w:r>
      <w:r w:rsidRPr="000B5434">
        <w:rPr>
          <w:rFonts w:ascii="Calibri" w:hAnsi="Calibri" w:cs="Arial"/>
          <w:i/>
          <w:iCs/>
          <w:color w:val="1A1A1A"/>
        </w:rPr>
        <w:t>The Annals of the American Academy of Political and Social Science</w:t>
      </w:r>
      <w:r w:rsidRPr="000B5434">
        <w:rPr>
          <w:rFonts w:ascii="Calibri" w:hAnsi="Calibri" w:cs="Arial"/>
          <w:color w:val="1A1A1A"/>
        </w:rPr>
        <w:t>, </w:t>
      </w:r>
      <w:r w:rsidRPr="000B5434">
        <w:rPr>
          <w:rFonts w:ascii="Calibri" w:hAnsi="Calibri" w:cs="Arial"/>
          <w:i/>
          <w:iCs/>
          <w:color w:val="1A1A1A"/>
        </w:rPr>
        <w:t>610</w:t>
      </w:r>
      <w:r w:rsidRPr="000B5434">
        <w:rPr>
          <w:rFonts w:ascii="Calibri" w:hAnsi="Calibri" w:cs="Arial"/>
          <w:color w:val="1A1A1A"/>
        </w:rPr>
        <w:t>(1), 21-44.</w:t>
      </w:r>
    </w:p>
    <w:p w14:paraId="3ABD58DF" w14:textId="7987F152" w:rsidR="00C13AF8" w:rsidRPr="00A3172F" w:rsidRDefault="00C13AF8" w:rsidP="00A3172F">
      <w:pPr>
        <w:pStyle w:val="Heading5-1C"/>
        <w:rPr>
          <w:bCs/>
        </w:rPr>
      </w:pPr>
      <w:r w:rsidRPr="00A3172F">
        <w:rPr>
          <w:rStyle w:val="Strong"/>
          <w:rFonts w:asciiTheme="minorHAnsi" w:hAnsiTheme="minorHAnsi"/>
          <w:b/>
          <w:bCs w:val="0"/>
          <w:szCs w:val="26"/>
        </w:rPr>
        <w:t>October 3/4:</w:t>
      </w:r>
      <w:r w:rsidRPr="00A3172F">
        <w:rPr>
          <w:bCs/>
        </w:rPr>
        <w:t xml:space="preserve"> </w:t>
      </w:r>
      <w:r w:rsidRPr="00A3172F">
        <w:t>Human Rights</w:t>
      </w:r>
      <w:r w:rsidRPr="00A3172F">
        <w:rPr>
          <w:bCs/>
        </w:rPr>
        <w:t xml:space="preserve">  </w:t>
      </w:r>
    </w:p>
    <w:p w14:paraId="0D07403A" w14:textId="77777777" w:rsidR="00C13AF8" w:rsidRPr="00123264" w:rsidRDefault="00C13AF8" w:rsidP="00C13AF8">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6A37A30C" w14:textId="428A59C2" w:rsidR="00C13AF8" w:rsidRPr="007E25CF" w:rsidRDefault="00C13AF8" w:rsidP="00C13AF8">
      <w:pPr>
        <w:numPr>
          <w:ilvl w:val="2"/>
          <w:numId w:val="15"/>
        </w:numPr>
        <w:ind w:left="993"/>
        <w:rPr>
          <w:b/>
          <w:i/>
        </w:rPr>
      </w:pPr>
      <w:r w:rsidRPr="00CA4582">
        <w:t>Ibhawoh, B. (2018</w:t>
      </w:r>
      <w:r>
        <w:t xml:space="preserve">). Visions and disputes. In </w:t>
      </w:r>
      <w:r>
        <w:rPr>
          <w:i/>
          <w:iCs/>
        </w:rPr>
        <w:t>Human Rights in Africa</w:t>
      </w:r>
      <w:r>
        <w:t xml:space="preserve"> (pp. 1-</w:t>
      </w:r>
      <w:r w:rsidRPr="00CA4582">
        <w:t>2</w:t>
      </w:r>
      <w:r>
        <w:t>0). Cambridge University Press.</w:t>
      </w:r>
    </w:p>
    <w:p w14:paraId="1F8A78B6" w14:textId="591E811A" w:rsidR="005506B2" w:rsidRPr="005506B2" w:rsidRDefault="005506B2" w:rsidP="00C13AF8">
      <w:pPr>
        <w:numPr>
          <w:ilvl w:val="2"/>
          <w:numId w:val="15"/>
        </w:numPr>
        <w:ind w:left="993"/>
        <w:rPr>
          <w:b/>
        </w:rPr>
      </w:pPr>
      <w:r w:rsidRPr="005506B2">
        <w:t>Karunanayake</w:t>
      </w:r>
      <w:r>
        <w:t xml:space="preserve">, D. (2020). Reclaiming home and “righting” citizenships in postwar Sri Lanka: Internal displacement, memory, and human rights. In C.J. Schlund-Vilas, G. Beauregard, and H. Lee (eds.), </w:t>
      </w:r>
      <w:r>
        <w:rPr>
          <w:i/>
          <w:iCs/>
        </w:rPr>
        <w:t>The Subject(s) of Human Rights. Crises, Violations, and Asian/American Critique</w:t>
      </w:r>
      <w:r w:rsidR="00B52AE0">
        <w:rPr>
          <w:i/>
          <w:iCs/>
        </w:rPr>
        <w:t xml:space="preserve"> </w:t>
      </w:r>
      <w:r w:rsidR="00B52AE0">
        <w:t>(pp.180-200)</w:t>
      </w:r>
      <w:r>
        <w:rPr>
          <w:i/>
          <w:iCs/>
        </w:rPr>
        <w:t xml:space="preserve">. </w:t>
      </w:r>
      <w:r>
        <w:t>Temple University Press.</w:t>
      </w:r>
    </w:p>
    <w:p w14:paraId="4F8E3922" w14:textId="21C5F7C3" w:rsidR="00172DA3" w:rsidRPr="00A3172F" w:rsidRDefault="00CA4582" w:rsidP="00A3172F">
      <w:pPr>
        <w:ind w:left="1080"/>
        <w:jc w:val="right"/>
        <w:rPr>
          <w:rStyle w:val="Strong"/>
          <w:rFonts w:asciiTheme="minorHAnsi" w:hAnsiTheme="minorHAnsi" w:cstheme="minorBidi"/>
          <w:bCs w:val="0"/>
          <w:i/>
          <w:color w:val="auto"/>
        </w:rPr>
      </w:pPr>
      <w:r>
        <w:rPr>
          <w:b/>
          <w:i/>
        </w:rPr>
        <w:t>C</w:t>
      </w:r>
      <w:r w:rsidRPr="00765464">
        <w:rPr>
          <w:b/>
          <w:i/>
        </w:rPr>
        <w:t xml:space="preserve">ritical Response Papers due on </w:t>
      </w:r>
      <w:r w:rsidRPr="00CA4582">
        <w:rPr>
          <w:b/>
          <w:i/>
        </w:rPr>
        <w:t xml:space="preserve">October </w:t>
      </w:r>
      <w:r w:rsidR="00F04F3F">
        <w:rPr>
          <w:b/>
          <w:i/>
        </w:rPr>
        <w:t>3 (or before)</w:t>
      </w:r>
    </w:p>
    <w:p w14:paraId="56556CB8" w14:textId="45A24CFD" w:rsidR="000A0838" w:rsidRPr="00A3172F" w:rsidRDefault="005C6CD6" w:rsidP="00A3172F">
      <w:pPr>
        <w:pStyle w:val="Heading5-1C"/>
        <w:rPr>
          <w:bCs/>
        </w:rPr>
      </w:pPr>
      <w:r w:rsidRPr="00A3172F">
        <w:rPr>
          <w:rStyle w:val="Strong"/>
          <w:rFonts w:asciiTheme="minorHAnsi" w:hAnsiTheme="minorHAnsi"/>
          <w:b/>
          <w:bCs w:val="0"/>
          <w:szCs w:val="26"/>
        </w:rPr>
        <w:lastRenderedPageBreak/>
        <w:t xml:space="preserve">October </w:t>
      </w:r>
      <w:r w:rsidR="004A5ABE" w:rsidRPr="00A3172F">
        <w:rPr>
          <w:rStyle w:val="Strong"/>
          <w:rFonts w:asciiTheme="minorHAnsi" w:hAnsiTheme="minorHAnsi"/>
          <w:b/>
          <w:bCs w:val="0"/>
          <w:szCs w:val="26"/>
        </w:rPr>
        <w:t>17/18</w:t>
      </w:r>
      <w:r w:rsidR="00042793" w:rsidRPr="00A3172F">
        <w:rPr>
          <w:rStyle w:val="Strong"/>
          <w:rFonts w:asciiTheme="minorHAnsi" w:hAnsiTheme="minorHAnsi"/>
          <w:b/>
          <w:bCs w:val="0"/>
          <w:szCs w:val="26"/>
        </w:rPr>
        <w:t>:</w:t>
      </w:r>
      <w:r w:rsidR="00042793" w:rsidRPr="00A3172F">
        <w:rPr>
          <w:bCs/>
        </w:rPr>
        <w:t xml:space="preserve"> </w:t>
      </w:r>
      <w:r w:rsidR="000A0838" w:rsidRPr="00A3172F">
        <w:t>Global Tax and Trade</w:t>
      </w:r>
    </w:p>
    <w:p w14:paraId="2638B905" w14:textId="77777777" w:rsidR="000A0838" w:rsidRPr="00123264" w:rsidRDefault="000A0838" w:rsidP="000A0838">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691EB70D" w14:textId="1D6188C8" w:rsidR="000A0838" w:rsidRPr="003240B7" w:rsidRDefault="000A0838" w:rsidP="00726CFA">
      <w:pPr>
        <w:numPr>
          <w:ilvl w:val="2"/>
          <w:numId w:val="15"/>
        </w:numPr>
        <w:ind w:left="993"/>
        <w:rPr>
          <w:b/>
          <w:i/>
        </w:rPr>
      </w:pPr>
      <w:r w:rsidRPr="000B5434">
        <w:rPr>
          <w:rFonts w:cs="Arial"/>
          <w:color w:val="1A1A1A"/>
        </w:rPr>
        <w:t xml:space="preserve">Milin, Z. (2014). Global </w:t>
      </w:r>
      <w:r w:rsidR="00AE1762">
        <w:rPr>
          <w:rFonts w:cs="Arial"/>
          <w:color w:val="1A1A1A"/>
        </w:rPr>
        <w:t>t</w:t>
      </w:r>
      <w:r w:rsidRPr="000B5434">
        <w:rPr>
          <w:rFonts w:cs="Arial"/>
          <w:color w:val="1A1A1A"/>
        </w:rPr>
        <w:t xml:space="preserve">ax </w:t>
      </w:r>
      <w:r w:rsidR="00AE1762">
        <w:rPr>
          <w:rFonts w:cs="Arial"/>
          <w:color w:val="1A1A1A"/>
        </w:rPr>
        <w:t>j</w:t>
      </w:r>
      <w:r w:rsidRPr="000B5434">
        <w:rPr>
          <w:rFonts w:cs="Arial"/>
          <w:color w:val="1A1A1A"/>
        </w:rPr>
        <w:t xml:space="preserve">ustice and the </w:t>
      </w:r>
      <w:r w:rsidR="00AE1762">
        <w:rPr>
          <w:rFonts w:cs="Arial"/>
          <w:color w:val="1A1A1A"/>
        </w:rPr>
        <w:t>r</w:t>
      </w:r>
      <w:r w:rsidRPr="000B5434">
        <w:rPr>
          <w:rFonts w:cs="Arial"/>
          <w:color w:val="1A1A1A"/>
        </w:rPr>
        <w:t xml:space="preserve">esource </w:t>
      </w:r>
      <w:r w:rsidR="00AE1762">
        <w:rPr>
          <w:rFonts w:cs="Arial"/>
          <w:color w:val="1A1A1A"/>
        </w:rPr>
        <w:t>c</w:t>
      </w:r>
      <w:r w:rsidRPr="000B5434">
        <w:rPr>
          <w:rFonts w:cs="Arial"/>
          <w:color w:val="1A1A1A"/>
        </w:rPr>
        <w:t xml:space="preserve">urse: What </w:t>
      </w:r>
      <w:r w:rsidR="00AE1762">
        <w:rPr>
          <w:rFonts w:cs="Arial"/>
          <w:color w:val="1A1A1A"/>
        </w:rPr>
        <w:t>d</w:t>
      </w:r>
      <w:r w:rsidRPr="000B5434">
        <w:rPr>
          <w:rFonts w:cs="Arial"/>
          <w:color w:val="1A1A1A"/>
        </w:rPr>
        <w:t xml:space="preserve">o </w:t>
      </w:r>
      <w:r w:rsidR="00AE1762">
        <w:rPr>
          <w:rFonts w:cs="Arial"/>
          <w:color w:val="1A1A1A"/>
        </w:rPr>
        <w:t>co</w:t>
      </w:r>
      <w:r w:rsidRPr="000B5434">
        <w:rPr>
          <w:rFonts w:cs="Arial"/>
          <w:color w:val="1A1A1A"/>
        </w:rPr>
        <w:t xml:space="preserve">rporations </w:t>
      </w:r>
      <w:r w:rsidR="00AE1762">
        <w:rPr>
          <w:rFonts w:cs="Arial"/>
          <w:color w:val="1A1A1A"/>
        </w:rPr>
        <w:t>o</w:t>
      </w:r>
      <w:r w:rsidRPr="000B5434">
        <w:rPr>
          <w:rFonts w:cs="Arial"/>
          <w:color w:val="1A1A1A"/>
        </w:rPr>
        <w:t>we? </w:t>
      </w:r>
      <w:r w:rsidRPr="000B5434">
        <w:rPr>
          <w:rFonts w:cs="Arial"/>
          <w:i/>
          <w:iCs/>
          <w:color w:val="1A1A1A"/>
        </w:rPr>
        <w:t>Moral Philosophy and Politics</w:t>
      </w:r>
      <w:r w:rsidRPr="000B5434">
        <w:rPr>
          <w:rFonts w:cs="Arial"/>
          <w:color w:val="1A1A1A"/>
        </w:rPr>
        <w:t>, </w:t>
      </w:r>
      <w:r w:rsidRPr="000B5434">
        <w:rPr>
          <w:rFonts w:cs="Arial"/>
          <w:i/>
          <w:iCs/>
          <w:color w:val="1A1A1A"/>
        </w:rPr>
        <w:t>1</w:t>
      </w:r>
      <w:r w:rsidRPr="000B5434">
        <w:rPr>
          <w:rFonts w:cs="Arial"/>
          <w:color w:val="1A1A1A"/>
        </w:rPr>
        <w:t>(1), 17-36.</w:t>
      </w:r>
    </w:p>
    <w:p w14:paraId="24A0288B" w14:textId="32A4C352" w:rsidR="00CA4582" w:rsidRPr="00A3172F" w:rsidRDefault="003240B7" w:rsidP="00A3172F">
      <w:pPr>
        <w:numPr>
          <w:ilvl w:val="2"/>
          <w:numId w:val="15"/>
        </w:numPr>
        <w:ind w:left="993"/>
        <w:rPr>
          <w:b/>
          <w:i/>
        </w:rPr>
      </w:pPr>
      <w:r>
        <w:rPr>
          <w:rFonts w:cs="Arial"/>
          <w:color w:val="1A1A1A"/>
        </w:rPr>
        <w:t xml:space="preserve">Evertsson, N. (2020). Corporate </w:t>
      </w:r>
      <w:r w:rsidR="00AE1762">
        <w:rPr>
          <w:rFonts w:cs="Arial"/>
          <w:color w:val="1A1A1A"/>
        </w:rPr>
        <w:t>t</w:t>
      </w:r>
      <w:r>
        <w:rPr>
          <w:rFonts w:cs="Arial"/>
          <w:color w:val="1A1A1A"/>
        </w:rPr>
        <w:t xml:space="preserve">ax </w:t>
      </w:r>
      <w:r w:rsidR="00AE1762">
        <w:rPr>
          <w:rFonts w:cs="Arial"/>
          <w:color w:val="1A1A1A"/>
        </w:rPr>
        <w:t>a</w:t>
      </w:r>
      <w:r>
        <w:rPr>
          <w:rFonts w:cs="Arial"/>
          <w:color w:val="1A1A1A"/>
        </w:rPr>
        <w:t xml:space="preserve">voidance and </w:t>
      </w:r>
      <w:r w:rsidR="00AE1762">
        <w:rPr>
          <w:rFonts w:cs="Arial"/>
          <w:color w:val="1A1A1A"/>
        </w:rPr>
        <w:t>n</w:t>
      </w:r>
      <w:r>
        <w:rPr>
          <w:rFonts w:cs="Arial"/>
          <w:color w:val="1A1A1A"/>
        </w:rPr>
        <w:t xml:space="preserve">eutralization </w:t>
      </w:r>
      <w:r w:rsidR="00AE1762">
        <w:rPr>
          <w:rFonts w:cs="Arial"/>
          <w:color w:val="1A1A1A"/>
        </w:rPr>
        <w:t>t</w:t>
      </w:r>
      <w:r>
        <w:rPr>
          <w:rFonts w:cs="Arial"/>
          <w:color w:val="1A1A1A"/>
        </w:rPr>
        <w:t xml:space="preserve">echniques: A </w:t>
      </w:r>
      <w:r w:rsidR="00AE1762">
        <w:rPr>
          <w:rFonts w:cs="Arial"/>
          <w:color w:val="1A1A1A"/>
        </w:rPr>
        <w:t>c</w:t>
      </w:r>
      <w:r>
        <w:rPr>
          <w:rFonts w:cs="Arial"/>
          <w:color w:val="1A1A1A"/>
        </w:rPr>
        <w:t xml:space="preserve">ase </w:t>
      </w:r>
      <w:r w:rsidR="00AE1762">
        <w:rPr>
          <w:rFonts w:cs="Arial"/>
          <w:color w:val="1A1A1A"/>
        </w:rPr>
        <w:t>s</w:t>
      </w:r>
      <w:r>
        <w:rPr>
          <w:rFonts w:cs="Arial"/>
          <w:color w:val="1A1A1A"/>
        </w:rPr>
        <w:t xml:space="preserve">tudy of the Panama Papers.  </w:t>
      </w:r>
      <w:r w:rsidRPr="003240B7">
        <w:rPr>
          <w:rFonts w:cs="Arial"/>
          <w:i/>
          <w:iCs/>
          <w:color w:val="1A1A1A"/>
        </w:rPr>
        <w:t>Critical Criminology</w:t>
      </w:r>
      <w:r>
        <w:rPr>
          <w:rFonts w:cs="Arial"/>
          <w:color w:val="1A1A1A"/>
        </w:rPr>
        <w:t>, 28, 721-739.</w:t>
      </w:r>
    </w:p>
    <w:p w14:paraId="7C6DC7DD" w14:textId="2A45EC43" w:rsidR="00C13AF8" w:rsidRPr="00A3172F" w:rsidRDefault="00C13AF8" w:rsidP="00A3172F">
      <w:pPr>
        <w:pStyle w:val="Heading5-1C"/>
      </w:pPr>
      <w:r w:rsidRPr="00A3172F">
        <w:rPr>
          <w:rStyle w:val="Strong"/>
          <w:rFonts w:asciiTheme="minorHAnsi" w:hAnsiTheme="minorHAnsi" w:cstheme="minorHAnsi"/>
          <w:b/>
          <w:bCs w:val="0"/>
          <w:color w:val="auto"/>
        </w:rPr>
        <w:t>October 24/25:</w:t>
      </w:r>
      <w:r w:rsidRPr="00A3172F">
        <w:t xml:space="preserve"> Racism and White Supremacy  </w:t>
      </w:r>
    </w:p>
    <w:p w14:paraId="1A9967FE" w14:textId="77777777" w:rsidR="00C13AF8" w:rsidRPr="00123264" w:rsidRDefault="00C13AF8" w:rsidP="00C13AF8">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0A3734BF" w14:textId="5C7678F1" w:rsidR="00C13AF8" w:rsidRPr="00EE1CAA" w:rsidRDefault="00C13AF8" w:rsidP="00C13AF8">
      <w:pPr>
        <w:numPr>
          <w:ilvl w:val="2"/>
          <w:numId w:val="15"/>
        </w:numPr>
        <w:ind w:left="1080"/>
        <w:rPr>
          <w:b/>
          <w:i/>
        </w:rPr>
      </w:pPr>
      <w:r w:rsidRPr="00C91C5A">
        <w:t>Maynard, R</w:t>
      </w:r>
      <w:r>
        <w:t xml:space="preserve">. (2017). </w:t>
      </w:r>
      <w:r w:rsidR="009F4AAF">
        <w:t xml:space="preserve">Selection from </w:t>
      </w:r>
      <w:r w:rsidR="00B72B2C">
        <w:t>Destroying Black families. Slavery’s afterlife in the child welfare system</w:t>
      </w:r>
      <w:r w:rsidR="003C57A7">
        <w:t>.</w:t>
      </w:r>
      <w:r w:rsidRPr="001F714A">
        <w:t xml:space="preserve"> </w:t>
      </w:r>
      <w:r>
        <w:t>In</w:t>
      </w:r>
      <w:r w:rsidRPr="001F714A">
        <w:rPr>
          <w:i/>
        </w:rPr>
        <w:t xml:space="preserve"> Policing Black Lives</w:t>
      </w:r>
      <w:r>
        <w:rPr>
          <w:i/>
        </w:rPr>
        <w:t>: State Violence in Canada from Slavery to the Present</w:t>
      </w:r>
      <w:r>
        <w:t xml:space="preserve"> (pp. </w:t>
      </w:r>
      <w:r w:rsidR="00774C01">
        <w:t>192</w:t>
      </w:r>
      <w:r w:rsidR="00E30A6A">
        <w:t>-207</w:t>
      </w:r>
      <w:r>
        <w:t>). Fernwood.</w:t>
      </w:r>
    </w:p>
    <w:p w14:paraId="02EF4314" w14:textId="67F27F2D" w:rsidR="00C13AF8" w:rsidRPr="00EE1CAA" w:rsidRDefault="00C13AF8" w:rsidP="00C13AF8">
      <w:pPr>
        <w:numPr>
          <w:ilvl w:val="2"/>
          <w:numId w:val="15"/>
        </w:numPr>
        <w:ind w:left="1080"/>
        <w:rPr>
          <w:b/>
          <w:i/>
        </w:rPr>
      </w:pPr>
      <w:r w:rsidRPr="00882E4C">
        <w:t>Waldron</w:t>
      </w:r>
      <w:r w:rsidR="003C57A7" w:rsidRPr="00882E4C">
        <w:t>,</w:t>
      </w:r>
      <w:r w:rsidR="003C57A7">
        <w:t xml:space="preserve"> I. (2018). </w:t>
      </w:r>
      <w:r w:rsidR="00506830">
        <w:t>Not in my backyard. The politics of race, place, and waste in Nova Scotia</w:t>
      </w:r>
      <w:r w:rsidR="003C57A7">
        <w:t>.</w:t>
      </w:r>
      <w:r>
        <w:t xml:space="preserve"> </w:t>
      </w:r>
      <w:r w:rsidR="003C57A7">
        <w:t xml:space="preserve">In </w:t>
      </w:r>
      <w:r>
        <w:rPr>
          <w:i/>
          <w:iCs/>
        </w:rPr>
        <w:t>There’s Something in the Water</w:t>
      </w:r>
      <w:r w:rsidR="003C57A7">
        <w:rPr>
          <w:i/>
          <w:iCs/>
        </w:rPr>
        <w:t>. Environmental Racism in Indigenous and Black Communities</w:t>
      </w:r>
      <w:r w:rsidR="003C57A7">
        <w:t xml:space="preserve"> (pp. </w:t>
      </w:r>
      <w:r w:rsidR="00506830">
        <w:t>66-88</w:t>
      </w:r>
      <w:r w:rsidR="003C57A7">
        <w:t>)</w:t>
      </w:r>
      <w:r w:rsidR="007263FC">
        <w:t>. Fernwood.</w:t>
      </w:r>
    </w:p>
    <w:p w14:paraId="27957977" w14:textId="2918313C" w:rsidR="00AD28C8" w:rsidRPr="00A3172F" w:rsidRDefault="00506830" w:rsidP="00A3172F">
      <w:pPr>
        <w:pStyle w:val="ListParagraph"/>
        <w:ind w:left="5529"/>
        <w:jc w:val="center"/>
        <w:rPr>
          <w:rStyle w:val="Strong"/>
          <w:rFonts w:asciiTheme="minorHAnsi" w:hAnsiTheme="minorHAnsi" w:cstheme="minorBidi"/>
          <w:bCs w:val="0"/>
          <w:i/>
          <w:color w:val="auto"/>
        </w:rPr>
      </w:pPr>
      <w:r w:rsidRPr="00765464">
        <w:rPr>
          <w:b/>
          <w:i/>
        </w:rPr>
        <w:t xml:space="preserve">Capstone Proposals </w:t>
      </w:r>
      <w:r w:rsidRPr="00CA4582">
        <w:rPr>
          <w:b/>
          <w:i/>
        </w:rPr>
        <w:t>due on October 2</w:t>
      </w:r>
      <w:r>
        <w:rPr>
          <w:b/>
          <w:i/>
        </w:rPr>
        <w:t>4</w:t>
      </w:r>
    </w:p>
    <w:p w14:paraId="23690348" w14:textId="0BE34F0C" w:rsidR="00042793" w:rsidRPr="00A3172F" w:rsidRDefault="004A5ABE" w:rsidP="00A3172F">
      <w:pPr>
        <w:pStyle w:val="Heading5-1C"/>
      </w:pPr>
      <w:r w:rsidRPr="00A3172F">
        <w:rPr>
          <w:rStyle w:val="Strong"/>
          <w:rFonts w:asciiTheme="minorHAnsi" w:hAnsiTheme="minorHAnsi" w:cstheme="minorHAnsi"/>
          <w:b/>
          <w:bCs w:val="0"/>
          <w:color w:val="auto"/>
        </w:rPr>
        <w:t>October 31/November 1</w:t>
      </w:r>
      <w:r w:rsidR="003D2D07" w:rsidRPr="00A3172F">
        <w:rPr>
          <w:rStyle w:val="Strong"/>
          <w:rFonts w:asciiTheme="minorHAnsi" w:hAnsiTheme="minorHAnsi" w:cstheme="minorHAnsi"/>
          <w:b/>
          <w:bCs w:val="0"/>
          <w:color w:val="auto"/>
        </w:rPr>
        <w:t xml:space="preserve">: </w:t>
      </w:r>
      <w:r w:rsidR="00D53906" w:rsidRPr="00A3172F">
        <w:t>The War on Drugs</w:t>
      </w:r>
    </w:p>
    <w:p w14:paraId="0EAFAA71" w14:textId="77777777" w:rsidR="00042793" w:rsidRPr="00123264" w:rsidRDefault="00042793" w:rsidP="00042793">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0F24D3C5" w14:textId="24656CAE" w:rsidR="00683FD2" w:rsidRDefault="006D5BF4" w:rsidP="00683FD2">
      <w:pPr>
        <w:pStyle w:val="ListParagraph"/>
        <w:numPr>
          <w:ilvl w:val="1"/>
          <w:numId w:val="14"/>
        </w:numPr>
        <w:tabs>
          <w:tab w:val="left" w:pos="1395"/>
        </w:tabs>
        <w:ind w:left="993"/>
        <w:rPr>
          <w:rStyle w:val="Strong"/>
          <w:rFonts w:asciiTheme="minorHAnsi" w:hAnsiTheme="minorHAnsi" w:cstheme="minorHAnsi"/>
          <w:b w:val="0"/>
          <w:bCs w:val="0"/>
        </w:rPr>
      </w:pPr>
      <w:r w:rsidRPr="003240B7">
        <w:rPr>
          <w:rStyle w:val="Strong"/>
          <w:rFonts w:asciiTheme="minorHAnsi" w:hAnsiTheme="minorHAnsi" w:cstheme="minorHAnsi"/>
          <w:b w:val="0"/>
          <w:bCs w:val="0"/>
        </w:rPr>
        <w:t xml:space="preserve">Karam, K. (2022).  Drug </w:t>
      </w:r>
      <w:r w:rsidR="00AE1762">
        <w:rPr>
          <w:rStyle w:val="Strong"/>
          <w:rFonts w:asciiTheme="minorHAnsi" w:hAnsiTheme="minorHAnsi" w:cstheme="minorHAnsi"/>
          <w:b w:val="0"/>
          <w:bCs w:val="0"/>
        </w:rPr>
        <w:t>p</w:t>
      </w:r>
      <w:r w:rsidRPr="003240B7">
        <w:rPr>
          <w:rStyle w:val="Strong"/>
          <w:rFonts w:asciiTheme="minorHAnsi" w:hAnsiTheme="minorHAnsi" w:cstheme="minorHAnsi"/>
          <w:b w:val="0"/>
          <w:bCs w:val="0"/>
        </w:rPr>
        <w:t xml:space="preserve">rohibition and the </w:t>
      </w:r>
      <w:r w:rsidR="00AE1762">
        <w:rPr>
          <w:rStyle w:val="Strong"/>
          <w:rFonts w:asciiTheme="minorHAnsi" w:hAnsiTheme="minorHAnsi" w:cstheme="minorHAnsi"/>
          <w:b w:val="0"/>
          <w:bCs w:val="0"/>
        </w:rPr>
        <w:t>p</w:t>
      </w:r>
      <w:r w:rsidRPr="003240B7">
        <w:rPr>
          <w:rStyle w:val="Strong"/>
          <w:rFonts w:asciiTheme="minorHAnsi" w:hAnsiTheme="minorHAnsi" w:cstheme="minorHAnsi"/>
          <w:b w:val="0"/>
          <w:bCs w:val="0"/>
        </w:rPr>
        <w:t xml:space="preserve">olicing of </w:t>
      </w:r>
      <w:r w:rsidR="00AE1762">
        <w:rPr>
          <w:rStyle w:val="Strong"/>
          <w:rFonts w:asciiTheme="minorHAnsi" w:hAnsiTheme="minorHAnsi" w:cstheme="minorHAnsi"/>
          <w:b w:val="0"/>
          <w:bCs w:val="0"/>
        </w:rPr>
        <w:t>w</w:t>
      </w:r>
      <w:r w:rsidRPr="003240B7">
        <w:rPr>
          <w:rStyle w:val="Strong"/>
          <w:rFonts w:asciiTheme="minorHAnsi" w:hAnsiTheme="minorHAnsi" w:cstheme="minorHAnsi"/>
          <w:b w:val="0"/>
          <w:bCs w:val="0"/>
        </w:rPr>
        <w:t xml:space="preserve">arfare: The </w:t>
      </w:r>
      <w:r w:rsidR="00AE1762">
        <w:rPr>
          <w:rStyle w:val="Strong"/>
          <w:rFonts w:asciiTheme="minorHAnsi" w:hAnsiTheme="minorHAnsi" w:cstheme="minorHAnsi"/>
          <w:b w:val="0"/>
          <w:bCs w:val="0"/>
        </w:rPr>
        <w:t>w</w:t>
      </w:r>
      <w:r w:rsidRPr="003240B7">
        <w:rPr>
          <w:rStyle w:val="Strong"/>
          <w:rFonts w:asciiTheme="minorHAnsi" w:hAnsiTheme="minorHAnsi" w:cstheme="minorHAnsi"/>
          <w:b w:val="0"/>
          <w:bCs w:val="0"/>
        </w:rPr>
        <w:t xml:space="preserve">ar on </w:t>
      </w:r>
      <w:r w:rsidR="00AE1762">
        <w:rPr>
          <w:rStyle w:val="Strong"/>
          <w:rFonts w:asciiTheme="minorHAnsi" w:hAnsiTheme="minorHAnsi" w:cstheme="minorHAnsi"/>
          <w:b w:val="0"/>
          <w:bCs w:val="0"/>
        </w:rPr>
        <w:t>d</w:t>
      </w:r>
      <w:r w:rsidRPr="003240B7">
        <w:rPr>
          <w:rStyle w:val="Strong"/>
          <w:rFonts w:asciiTheme="minorHAnsi" w:hAnsiTheme="minorHAnsi" w:cstheme="minorHAnsi"/>
          <w:b w:val="0"/>
          <w:bCs w:val="0"/>
        </w:rPr>
        <w:t xml:space="preserve">rugs, </w:t>
      </w:r>
      <w:r w:rsidR="00AE1762">
        <w:rPr>
          <w:rStyle w:val="Strong"/>
          <w:rFonts w:asciiTheme="minorHAnsi" w:hAnsiTheme="minorHAnsi" w:cstheme="minorHAnsi"/>
          <w:b w:val="0"/>
          <w:bCs w:val="0"/>
        </w:rPr>
        <w:t>g</w:t>
      </w:r>
      <w:r w:rsidRPr="003240B7">
        <w:rPr>
          <w:rStyle w:val="Strong"/>
          <w:rFonts w:asciiTheme="minorHAnsi" w:hAnsiTheme="minorHAnsi" w:cstheme="minorHAnsi"/>
          <w:b w:val="0"/>
          <w:bCs w:val="0"/>
        </w:rPr>
        <w:t xml:space="preserve">lobalization, and the </w:t>
      </w:r>
      <w:r w:rsidR="00AE1762">
        <w:rPr>
          <w:rStyle w:val="Strong"/>
          <w:rFonts w:asciiTheme="minorHAnsi" w:hAnsiTheme="minorHAnsi" w:cstheme="minorHAnsi"/>
          <w:b w:val="0"/>
          <w:bCs w:val="0"/>
        </w:rPr>
        <w:t>m</w:t>
      </w:r>
      <w:r w:rsidRPr="003240B7">
        <w:rPr>
          <w:rStyle w:val="Strong"/>
          <w:rFonts w:asciiTheme="minorHAnsi" w:hAnsiTheme="minorHAnsi" w:cstheme="minorHAnsi"/>
          <w:b w:val="0"/>
          <w:bCs w:val="0"/>
        </w:rPr>
        <w:t xml:space="preserve">oralization of </w:t>
      </w:r>
      <w:r w:rsidR="00AE1762">
        <w:rPr>
          <w:rStyle w:val="Strong"/>
          <w:rFonts w:asciiTheme="minorHAnsi" w:hAnsiTheme="minorHAnsi" w:cstheme="minorHAnsi"/>
          <w:b w:val="0"/>
          <w:bCs w:val="0"/>
        </w:rPr>
        <w:t>p</w:t>
      </w:r>
      <w:r w:rsidRPr="003240B7">
        <w:rPr>
          <w:rStyle w:val="Strong"/>
          <w:rFonts w:asciiTheme="minorHAnsi" w:hAnsiTheme="minorHAnsi" w:cstheme="minorHAnsi"/>
          <w:b w:val="0"/>
          <w:bCs w:val="0"/>
        </w:rPr>
        <w:t xml:space="preserve">erpetual </w:t>
      </w:r>
      <w:r w:rsidR="00AE1762">
        <w:rPr>
          <w:rStyle w:val="Strong"/>
          <w:rFonts w:asciiTheme="minorHAnsi" w:hAnsiTheme="minorHAnsi" w:cstheme="minorHAnsi"/>
          <w:b w:val="0"/>
          <w:bCs w:val="0"/>
        </w:rPr>
        <w:t>v</w:t>
      </w:r>
      <w:r w:rsidRPr="003240B7">
        <w:rPr>
          <w:rStyle w:val="Strong"/>
          <w:rFonts w:asciiTheme="minorHAnsi" w:hAnsiTheme="minorHAnsi" w:cstheme="minorHAnsi"/>
          <w:b w:val="0"/>
          <w:bCs w:val="0"/>
        </w:rPr>
        <w:t xml:space="preserve">iolence. </w:t>
      </w:r>
      <w:r w:rsidRPr="003240B7">
        <w:rPr>
          <w:rStyle w:val="Strong"/>
          <w:rFonts w:asciiTheme="minorHAnsi" w:hAnsiTheme="minorHAnsi" w:cstheme="minorHAnsi"/>
          <w:b w:val="0"/>
          <w:bCs w:val="0"/>
          <w:i/>
          <w:iCs/>
        </w:rPr>
        <w:t>Humanity</w:t>
      </w:r>
      <w:r w:rsidRPr="003240B7">
        <w:rPr>
          <w:rStyle w:val="Strong"/>
          <w:rFonts w:asciiTheme="minorHAnsi" w:hAnsiTheme="minorHAnsi" w:cstheme="minorHAnsi"/>
          <w:b w:val="0"/>
          <w:bCs w:val="0"/>
        </w:rPr>
        <w:t xml:space="preserve">, </w:t>
      </w:r>
      <w:r w:rsidRPr="00F04F3F">
        <w:rPr>
          <w:rStyle w:val="Strong"/>
          <w:rFonts w:asciiTheme="minorHAnsi" w:hAnsiTheme="minorHAnsi" w:cstheme="minorHAnsi"/>
          <w:b w:val="0"/>
          <w:bCs w:val="0"/>
          <w:i/>
          <w:iCs/>
        </w:rPr>
        <w:t>13</w:t>
      </w:r>
      <w:r w:rsidRPr="003240B7">
        <w:rPr>
          <w:rStyle w:val="Strong"/>
          <w:rFonts w:asciiTheme="minorHAnsi" w:hAnsiTheme="minorHAnsi" w:cstheme="minorHAnsi"/>
          <w:b w:val="0"/>
          <w:bCs w:val="0"/>
        </w:rPr>
        <w:t>(1), 22-39.</w:t>
      </w:r>
    </w:p>
    <w:p w14:paraId="6DF4005D" w14:textId="7B9CA383" w:rsidR="006D5BF4" w:rsidRPr="00A3172F" w:rsidRDefault="003334B6" w:rsidP="006D5BF4">
      <w:pPr>
        <w:pStyle w:val="ListParagraph"/>
        <w:numPr>
          <w:ilvl w:val="1"/>
          <w:numId w:val="14"/>
        </w:numPr>
        <w:tabs>
          <w:tab w:val="left" w:pos="1395"/>
        </w:tabs>
        <w:ind w:left="993"/>
        <w:rPr>
          <w:rStyle w:val="Strong"/>
          <w:rFonts w:asciiTheme="minorHAnsi" w:hAnsiTheme="minorHAnsi" w:cstheme="minorHAnsi"/>
          <w:b w:val="0"/>
          <w:bCs w:val="0"/>
        </w:rPr>
      </w:pPr>
      <w:r w:rsidRPr="00683FD2">
        <w:rPr>
          <w:rStyle w:val="Strong"/>
          <w:rFonts w:asciiTheme="minorHAnsi" w:hAnsiTheme="minorHAnsi" w:cstheme="minorHAnsi"/>
          <w:b w:val="0"/>
          <w:bCs w:val="0"/>
        </w:rPr>
        <w:t xml:space="preserve">Velez-Torres, I. &amp; Lugo-Vivas, D. (2021). Slow </w:t>
      </w:r>
      <w:r w:rsidR="00AE1762">
        <w:rPr>
          <w:rStyle w:val="Strong"/>
          <w:rFonts w:asciiTheme="minorHAnsi" w:hAnsiTheme="minorHAnsi" w:cstheme="minorHAnsi"/>
          <w:b w:val="0"/>
          <w:bCs w:val="0"/>
        </w:rPr>
        <w:t>v</w:t>
      </w:r>
      <w:r w:rsidRPr="00683FD2">
        <w:rPr>
          <w:rStyle w:val="Strong"/>
          <w:rFonts w:asciiTheme="minorHAnsi" w:hAnsiTheme="minorHAnsi" w:cstheme="minorHAnsi"/>
          <w:b w:val="0"/>
          <w:bCs w:val="0"/>
        </w:rPr>
        <w:t xml:space="preserve">iolence and </w:t>
      </w:r>
      <w:r w:rsidR="00AE1762">
        <w:rPr>
          <w:rStyle w:val="Strong"/>
          <w:rFonts w:asciiTheme="minorHAnsi" w:hAnsiTheme="minorHAnsi" w:cstheme="minorHAnsi"/>
          <w:b w:val="0"/>
          <w:bCs w:val="0"/>
        </w:rPr>
        <w:t>c</w:t>
      </w:r>
      <w:r w:rsidRPr="00683FD2">
        <w:rPr>
          <w:rStyle w:val="Strong"/>
          <w:rFonts w:asciiTheme="minorHAnsi" w:hAnsiTheme="minorHAnsi" w:cstheme="minorHAnsi"/>
          <w:b w:val="0"/>
          <w:bCs w:val="0"/>
        </w:rPr>
        <w:t xml:space="preserve">orporate </w:t>
      </w:r>
      <w:r w:rsidR="00AE1762">
        <w:rPr>
          <w:rStyle w:val="Strong"/>
          <w:rFonts w:asciiTheme="minorHAnsi" w:hAnsiTheme="minorHAnsi" w:cstheme="minorHAnsi"/>
          <w:b w:val="0"/>
          <w:bCs w:val="0"/>
        </w:rPr>
        <w:t>g</w:t>
      </w:r>
      <w:r w:rsidRPr="00683FD2">
        <w:rPr>
          <w:rStyle w:val="Strong"/>
          <w:rFonts w:asciiTheme="minorHAnsi" w:hAnsiTheme="minorHAnsi" w:cstheme="minorHAnsi"/>
          <w:b w:val="0"/>
          <w:bCs w:val="0"/>
        </w:rPr>
        <w:t>reening in</w:t>
      </w:r>
      <w:r w:rsidR="00683FD2">
        <w:rPr>
          <w:rStyle w:val="Strong"/>
          <w:rFonts w:asciiTheme="minorHAnsi" w:hAnsiTheme="minorHAnsi" w:cstheme="minorHAnsi"/>
          <w:b w:val="0"/>
          <w:bCs w:val="0"/>
        </w:rPr>
        <w:t xml:space="preserve"> </w:t>
      </w:r>
      <w:r w:rsidRPr="00683FD2">
        <w:rPr>
          <w:rStyle w:val="Strong"/>
          <w:rFonts w:asciiTheme="minorHAnsi" w:hAnsiTheme="minorHAnsi" w:cstheme="minorHAnsi"/>
          <w:b w:val="0"/>
          <w:bCs w:val="0"/>
        </w:rPr>
        <w:t xml:space="preserve">the </w:t>
      </w:r>
      <w:r w:rsidR="00AE1762">
        <w:rPr>
          <w:rStyle w:val="Strong"/>
          <w:rFonts w:asciiTheme="minorHAnsi" w:hAnsiTheme="minorHAnsi" w:cstheme="minorHAnsi"/>
          <w:b w:val="0"/>
          <w:bCs w:val="0"/>
        </w:rPr>
        <w:t>w</w:t>
      </w:r>
      <w:r w:rsidRPr="00683FD2">
        <w:rPr>
          <w:rStyle w:val="Strong"/>
          <w:rFonts w:asciiTheme="minorHAnsi" w:hAnsiTheme="minorHAnsi" w:cstheme="minorHAnsi"/>
          <w:b w:val="0"/>
          <w:bCs w:val="0"/>
        </w:rPr>
        <w:t xml:space="preserve">ar on </w:t>
      </w:r>
      <w:r w:rsidR="00AE1762">
        <w:rPr>
          <w:rStyle w:val="Strong"/>
          <w:rFonts w:asciiTheme="minorHAnsi" w:hAnsiTheme="minorHAnsi" w:cstheme="minorHAnsi"/>
          <w:b w:val="0"/>
          <w:bCs w:val="0"/>
        </w:rPr>
        <w:t>d</w:t>
      </w:r>
      <w:r w:rsidRPr="00683FD2">
        <w:rPr>
          <w:rStyle w:val="Strong"/>
          <w:rFonts w:asciiTheme="minorHAnsi" w:hAnsiTheme="minorHAnsi" w:cstheme="minorHAnsi"/>
          <w:b w:val="0"/>
          <w:bCs w:val="0"/>
        </w:rPr>
        <w:t xml:space="preserve">rugs in Colombia. </w:t>
      </w:r>
      <w:r w:rsidRPr="00683FD2">
        <w:rPr>
          <w:rStyle w:val="Strong"/>
          <w:rFonts w:asciiTheme="minorHAnsi" w:hAnsiTheme="minorHAnsi" w:cstheme="minorHAnsi"/>
          <w:b w:val="0"/>
          <w:bCs w:val="0"/>
          <w:i/>
          <w:iCs/>
        </w:rPr>
        <w:t>International Affairs,</w:t>
      </w:r>
      <w:r w:rsidRPr="00683FD2">
        <w:rPr>
          <w:rStyle w:val="Strong"/>
          <w:rFonts w:asciiTheme="minorHAnsi" w:hAnsiTheme="minorHAnsi" w:cstheme="minorHAnsi"/>
          <w:b w:val="0"/>
          <w:bCs w:val="0"/>
        </w:rPr>
        <w:t xml:space="preserve"> </w:t>
      </w:r>
      <w:r w:rsidRPr="00683FD2">
        <w:rPr>
          <w:rStyle w:val="Strong"/>
          <w:rFonts w:asciiTheme="minorHAnsi" w:hAnsiTheme="minorHAnsi" w:cstheme="minorHAnsi"/>
          <w:b w:val="0"/>
          <w:bCs w:val="0"/>
          <w:i/>
          <w:iCs/>
        </w:rPr>
        <w:t>97</w:t>
      </w:r>
      <w:r w:rsidRPr="00683FD2">
        <w:rPr>
          <w:rStyle w:val="Strong"/>
          <w:rFonts w:asciiTheme="minorHAnsi" w:hAnsiTheme="minorHAnsi" w:cstheme="minorHAnsi"/>
          <w:b w:val="0"/>
          <w:bCs w:val="0"/>
        </w:rPr>
        <w:t>(1), 57-79.</w:t>
      </w:r>
    </w:p>
    <w:p w14:paraId="432E1B6D" w14:textId="76D65B0F" w:rsidR="007613BA" w:rsidRPr="00A3172F" w:rsidRDefault="007613BA" w:rsidP="00A3172F">
      <w:pPr>
        <w:pStyle w:val="Heading5-1C"/>
      </w:pPr>
      <w:r w:rsidRPr="00A3172F">
        <w:rPr>
          <w:rStyle w:val="Strong"/>
          <w:rFonts w:asciiTheme="minorHAnsi" w:hAnsiTheme="minorHAnsi" w:cstheme="minorHAnsi"/>
          <w:b/>
          <w:bCs w:val="0"/>
          <w:color w:val="auto"/>
        </w:rPr>
        <w:t>November 7/8:</w:t>
      </w:r>
      <w:r w:rsidRPr="00A3172F">
        <w:t xml:space="preserve"> </w:t>
      </w:r>
      <w:r w:rsidR="0007778D" w:rsidRPr="00A3172F">
        <w:t xml:space="preserve">Migration, Borders, </w:t>
      </w:r>
      <w:r w:rsidR="00482629" w:rsidRPr="00A3172F">
        <w:t>and Coloniality</w:t>
      </w:r>
    </w:p>
    <w:p w14:paraId="5ADEF30C" w14:textId="77777777" w:rsidR="007613BA" w:rsidRPr="00123264" w:rsidRDefault="007613BA" w:rsidP="007613BA">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161D64E9" w14:textId="008ACFAC" w:rsidR="00482629" w:rsidRPr="00482629" w:rsidRDefault="00482629" w:rsidP="00482629">
      <w:pPr>
        <w:numPr>
          <w:ilvl w:val="2"/>
          <w:numId w:val="15"/>
        </w:numPr>
        <w:ind w:left="1080"/>
        <w:rPr>
          <w:b/>
        </w:rPr>
      </w:pPr>
      <w:r>
        <w:t xml:space="preserve">Gutiérrez Rodriguez, E. (2018). </w:t>
      </w:r>
      <w:hyperlink r:id="rId12" w:history="1">
        <w:r w:rsidRPr="00001298">
          <w:rPr>
            <w:rStyle w:val="Hyperlink"/>
          </w:rPr>
          <w:t>The coloniality of migration and the “refugee crisis”: On the asylum-migration nexus, the transatlantic white European settler colonialism-migration and racial capitalism</w:t>
        </w:r>
      </w:hyperlink>
      <w:r>
        <w:t xml:space="preserve">. </w:t>
      </w:r>
      <w:r w:rsidRPr="00482629">
        <w:rPr>
          <w:i/>
          <w:iCs/>
        </w:rPr>
        <w:t>Refuge</w:t>
      </w:r>
      <w:r>
        <w:t xml:space="preserve">, </w:t>
      </w:r>
      <w:r w:rsidRPr="00482629">
        <w:rPr>
          <w:i/>
          <w:iCs/>
        </w:rPr>
        <w:t>34</w:t>
      </w:r>
      <w:r>
        <w:t>(1</w:t>
      </w:r>
      <w:r w:rsidRPr="00482629">
        <w:rPr>
          <w:rFonts w:ascii="Calibri" w:hAnsi="Calibri" w:cs="Calibri"/>
        </w:rPr>
        <w:t>)</w:t>
      </w:r>
      <w:r w:rsidR="00001298">
        <w:rPr>
          <w:rFonts w:ascii="Calibri" w:hAnsi="Calibri" w:cs="Calibri"/>
        </w:rPr>
        <w:t>.</w:t>
      </w:r>
    </w:p>
    <w:p w14:paraId="02FCF0B1" w14:textId="17AA9C4B" w:rsidR="002D7CBD" w:rsidRPr="00A3172F" w:rsidRDefault="0065646D" w:rsidP="009368F2">
      <w:pPr>
        <w:numPr>
          <w:ilvl w:val="2"/>
          <w:numId w:val="15"/>
        </w:numPr>
        <w:ind w:left="1080"/>
        <w:rPr>
          <w:b/>
        </w:rPr>
      </w:pPr>
      <w:r>
        <w:t>Lee, E. (2018).</w:t>
      </w:r>
      <w:r w:rsidR="003B7026">
        <w:t xml:space="preserve"> </w:t>
      </w:r>
      <w:hyperlink r:id="rId13" w:history="1">
        <w:r w:rsidR="003B7026" w:rsidRPr="00001298">
          <w:rPr>
            <w:rStyle w:val="Hyperlink"/>
          </w:rPr>
          <w:t>Tracing the coloniality of queer and trans migrations: Resituating heterocisnormative violence in the Global South and encounters with migrant visa ineligibility to Canada</w:t>
        </w:r>
      </w:hyperlink>
      <w:r w:rsidR="003B7026">
        <w:t xml:space="preserve">. </w:t>
      </w:r>
      <w:r w:rsidR="003B7026">
        <w:rPr>
          <w:i/>
          <w:iCs/>
        </w:rPr>
        <w:t xml:space="preserve">Refuge, </w:t>
      </w:r>
      <w:r w:rsidR="003B7026" w:rsidRPr="003B7026">
        <w:rPr>
          <w:i/>
          <w:iCs/>
        </w:rPr>
        <w:t>34</w:t>
      </w:r>
      <w:r w:rsidR="003B7026">
        <w:t>(1)</w:t>
      </w:r>
      <w:r w:rsidR="00001298">
        <w:t>.</w:t>
      </w:r>
    </w:p>
    <w:p w14:paraId="30912A82" w14:textId="04A6E6BC" w:rsidR="003D2D07" w:rsidRPr="00A3172F" w:rsidRDefault="00172DA3" w:rsidP="00A3172F">
      <w:pPr>
        <w:pStyle w:val="Heading5-1C"/>
        <w:rPr>
          <w:bCs/>
        </w:rPr>
      </w:pPr>
      <w:r w:rsidRPr="00A3172F">
        <w:rPr>
          <w:rStyle w:val="Strong"/>
          <w:rFonts w:asciiTheme="minorHAnsi" w:hAnsiTheme="minorHAnsi"/>
          <w:b/>
          <w:bCs w:val="0"/>
          <w:szCs w:val="26"/>
        </w:rPr>
        <w:t xml:space="preserve">November </w:t>
      </w:r>
      <w:r w:rsidR="004A5ABE" w:rsidRPr="00A3172F">
        <w:rPr>
          <w:rStyle w:val="Strong"/>
          <w:rFonts w:asciiTheme="minorHAnsi" w:hAnsiTheme="minorHAnsi"/>
          <w:b/>
          <w:bCs w:val="0"/>
          <w:szCs w:val="26"/>
        </w:rPr>
        <w:t>14/15</w:t>
      </w:r>
      <w:r w:rsidRPr="00A3172F">
        <w:rPr>
          <w:rStyle w:val="Strong"/>
          <w:rFonts w:asciiTheme="minorHAnsi" w:hAnsiTheme="minorHAnsi"/>
          <w:b/>
          <w:bCs w:val="0"/>
          <w:szCs w:val="26"/>
        </w:rPr>
        <w:t>:</w:t>
      </w:r>
      <w:r w:rsidR="003D2D07" w:rsidRPr="00A3172F">
        <w:rPr>
          <w:bCs/>
        </w:rPr>
        <w:t xml:space="preserve"> </w:t>
      </w:r>
      <w:r w:rsidR="00D53906" w:rsidRPr="00A3172F">
        <w:t>The War on Terror</w:t>
      </w:r>
    </w:p>
    <w:p w14:paraId="4C189305" w14:textId="1FBB29E9" w:rsidR="003D2D07" w:rsidRDefault="003D2D07" w:rsidP="003D2D07">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112C28C7" w14:textId="076A0EC3" w:rsidR="00E750F4" w:rsidRDefault="00E750F4" w:rsidP="00726CFA">
      <w:pPr>
        <w:numPr>
          <w:ilvl w:val="1"/>
          <w:numId w:val="14"/>
        </w:numPr>
        <w:ind w:left="993"/>
        <w:rPr>
          <w:rStyle w:val="Strong"/>
          <w:rFonts w:asciiTheme="minorHAnsi" w:hAnsiTheme="minorHAnsi"/>
          <w:b w:val="0"/>
          <w:bCs w:val="0"/>
        </w:rPr>
      </w:pPr>
      <w:r>
        <w:rPr>
          <w:rStyle w:val="Strong"/>
          <w:rFonts w:asciiTheme="minorHAnsi" w:hAnsiTheme="minorHAnsi"/>
          <w:b w:val="0"/>
          <w:bCs w:val="0"/>
        </w:rPr>
        <w:t xml:space="preserve">Jackson, L. (2021). </w:t>
      </w:r>
      <w:r w:rsidRPr="00E750F4">
        <w:rPr>
          <w:rStyle w:val="Strong"/>
          <w:rFonts w:asciiTheme="minorHAnsi" w:hAnsiTheme="minorHAnsi"/>
          <w:b w:val="0"/>
          <w:bCs w:val="0"/>
        </w:rPr>
        <w:t>Still just victims or villains? The “jihadi brides” and the representation of politically violent women</w:t>
      </w:r>
      <w:r>
        <w:rPr>
          <w:rStyle w:val="Strong"/>
          <w:rFonts w:asciiTheme="minorHAnsi" w:hAnsiTheme="minorHAnsi"/>
          <w:b w:val="0"/>
          <w:bCs w:val="0"/>
        </w:rPr>
        <w:t xml:space="preserve">.  </w:t>
      </w:r>
      <w:r w:rsidRPr="00E750F4">
        <w:rPr>
          <w:rStyle w:val="Strong"/>
          <w:rFonts w:asciiTheme="minorHAnsi" w:hAnsiTheme="minorHAnsi"/>
          <w:b w:val="0"/>
          <w:bCs w:val="0"/>
          <w:i/>
          <w:iCs/>
        </w:rPr>
        <w:t>Critical Studies on Terrorism</w:t>
      </w:r>
      <w:r>
        <w:rPr>
          <w:rStyle w:val="Strong"/>
          <w:rFonts w:asciiTheme="minorHAnsi" w:hAnsiTheme="minorHAnsi"/>
          <w:b w:val="0"/>
          <w:bCs w:val="0"/>
        </w:rPr>
        <w:t xml:space="preserve">, </w:t>
      </w:r>
      <w:r w:rsidRPr="00482629">
        <w:rPr>
          <w:rStyle w:val="Strong"/>
          <w:rFonts w:asciiTheme="minorHAnsi" w:hAnsiTheme="minorHAnsi"/>
          <w:b w:val="0"/>
          <w:bCs w:val="0"/>
          <w:i/>
          <w:iCs/>
        </w:rPr>
        <w:t>14</w:t>
      </w:r>
      <w:r>
        <w:rPr>
          <w:rStyle w:val="Strong"/>
          <w:rFonts w:asciiTheme="minorHAnsi" w:hAnsiTheme="minorHAnsi"/>
          <w:b w:val="0"/>
          <w:bCs w:val="0"/>
        </w:rPr>
        <w:t>(4) 405-411.</w:t>
      </w:r>
    </w:p>
    <w:p w14:paraId="1DE2E82F" w14:textId="575490FD" w:rsidR="002D7CBD" w:rsidRPr="00A3172F" w:rsidRDefault="00BB001A" w:rsidP="00A3172F">
      <w:pPr>
        <w:numPr>
          <w:ilvl w:val="1"/>
          <w:numId w:val="14"/>
        </w:numPr>
        <w:ind w:left="993"/>
        <w:rPr>
          <w:rFonts w:cs="Arial"/>
          <w:color w:val="000000"/>
        </w:rPr>
      </w:pPr>
      <w:r w:rsidRPr="00BB001A">
        <w:rPr>
          <w:rStyle w:val="Strong"/>
          <w:rFonts w:asciiTheme="minorHAnsi" w:hAnsiTheme="minorHAnsi"/>
          <w:b w:val="0"/>
          <w:bCs w:val="0"/>
        </w:rPr>
        <w:t>Sykes, P. (2016).</w:t>
      </w:r>
      <w:r>
        <w:rPr>
          <w:rStyle w:val="Strong"/>
          <w:rFonts w:asciiTheme="minorHAnsi" w:hAnsiTheme="minorHAnsi"/>
        </w:rPr>
        <w:t xml:space="preserve"> </w:t>
      </w:r>
      <w:r w:rsidRPr="00BB001A">
        <w:rPr>
          <w:rStyle w:val="Strong"/>
          <w:rFonts w:asciiTheme="minorHAnsi" w:hAnsiTheme="minorHAnsi"/>
          <w:b w:val="0"/>
          <w:bCs w:val="0"/>
        </w:rPr>
        <w:t>Denaturalisation and conceptions of citizenship in</w:t>
      </w:r>
      <w:r w:rsidR="00E750F4">
        <w:rPr>
          <w:rStyle w:val="Strong"/>
          <w:rFonts w:asciiTheme="minorHAnsi" w:hAnsiTheme="minorHAnsi"/>
          <w:b w:val="0"/>
          <w:bCs w:val="0"/>
        </w:rPr>
        <w:t xml:space="preserve"> </w:t>
      </w:r>
      <w:r w:rsidRPr="00E750F4">
        <w:rPr>
          <w:rStyle w:val="Strong"/>
          <w:rFonts w:asciiTheme="minorHAnsi" w:hAnsiTheme="minorHAnsi"/>
          <w:b w:val="0"/>
          <w:bCs w:val="0"/>
        </w:rPr>
        <w:t xml:space="preserve">the ‘war on terror.’ </w:t>
      </w:r>
      <w:r w:rsidRPr="00E750F4">
        <w:rPr>
          <w:rStyle w:val="Strong"/>
          <w:rFonts w:asciiTheme="minorHAnsi" w:hAnsiTheme="minorHAnsi"/>
          <w:b w:val="0"/>
          <w:bCs w:val="0"/>
          <w:i/>
          <w:iCs/>
        </w:rPr>
        <w:t>Citizenship Studies</w:t>
      </w:r>
      <w:r w:rsidR="00482629">
        <w:rPr>
          <w:rStyle w:val="Strong"/>
          <w:rFonts w:asciiTheme="minorHAnsi" w:hAnsiTheme="minorHAnsi"/>
          <w:b w:val="0"/>
          <w:bCs w:val="0"/>
          <w:i/>
          <w:iCs/>
        </w:rPr>
        <w:t>, 20</w:t>
      </w:r>
      <w:r w:rsidR="00482629">
        <w:rPr>
          <w:rStyle w:val="Strong"/>
          <w:rFonts w:asciiTheme="minorHAnsi" w:hAnsiTheme="minorHAnsi"/>
          <w:b w:val="0"/>
          <w:bCs w:val="0"/>
        </w:rPr>
        <w:t>(6-7), 749-763.</w:t>
      </w:r>
    </w:p>
    <w:p w14:paraId="11D44BC8" w14:textId="47E1C8A3" w:rsidR="007613BA" w:rsidRPr="00A3172F" w:rsidRDefault="007613BA" w:rsidP="00A3172F">
      <w:pPr>
        <w:pStyle w:val="Heading5-1C"/>
        <w:rPr>
          <w:bCs/>
        </w:rPr>
      </w:pPr>
      <w:bookmarkStart w:id="0" w:name="_Hlk109671843"/>
      <w:r w:rsidRPr="00A3172F">
        <w:rPr>
          <w:rStyle w:val="Strong"/>
          <w:rFonts w:asciiTheme="minorHAnsi" w:hAnsiTheme="minorHAnsi"/>
          <w:b/>
          <w:bCs w:val="0"/>
          <w:szCs w:val="26"/>
        </w:rPr>
        <w:t>November 21/22:</w:t>
      </w:r>
      <w:r w:rsidRPr="00A3172F">
        <w:rPr>
          <w:bCs/>
        </w:rPr>
        <w:t xml:space="preserve"> </w:t>
      </w:r>
      <w:r w:rsidRPr="00A3172F">
        <w:t>Gender</w:t>
      </w:r>
      <w:r w:rsidR="00ED3D42" w:rsidRPr="00A3172F">
        <w:t>-</w:t>
      </w:r>
      <w:r w:rsidRPr="00A3172F">
        <w:t>Based Violence</w:t>
      </w:r>
    </w:p>
    <w:p w14:paraId="186C0429" w14:textId="77777777" w:rsidR="007613BA" w:rsidRPr="00123264" w:rsidRDefault="007613BA" w:rsidP="007613BA">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02E85DD5" w14:textId="0F933F8F" w:rsidR="007613BA" w:rsidRPr="00126555" w:rsidRDefault="00C335D8" w:rsidP="00726CFA">
      <w:pPr>
        <w:numPr>
          <w:ilvl w:val="2"/>
          <w:numId w:val="15"/>
        </w:numPr>
        <w:ind w:left="993"/>
        <w:rPr>
          <w:b/>
        </w:rPr>
      </w:pPr>
      <w:r>
        <w:lastRenderedPageBreak/>
        <w:t>Dlamini, N.J. (2021). Gender-based violence, twin pandemic to COVID-19.</w:t>
      </w:r>
      <w:r w:rsidR="00482629">
        <w:t xml:space="preserve"> </w:t>
      </w:r>
      <w:r w:rsidR="00482629">
        <w:rPr>
          <w:i/>
          <w:iCs/>
        </w:rPr>
        <w:t>Critical Sociology, 47</w:t>
      </w:r>
      <w:r w:rsidR="00482629">
        <w:t>(4-5), 583-590.</w:t>
      </w:r>
    </w:p>
    <w:p w14:paraId="472307B4" w14:textId="4EEE6D10" w:rsidR="007613BA" w:rsidRPr="009368F2" w:rsidRDefault="00126555" w:rsidP="003D2D07">
      <w:pPr>
        <w:numPr>
          <w:ilvl w:val="2"/>
          <w:numId w:val="15"/>
        </w:numPr>
        <w:ind w:left="993"/>
        <w:rPr>
          <w:rStyle w:val="Strong"/>
          <w:rFonts w:asciiTheme="minorHAnsi" w:hAnsiTheme="minorHAnsi" w:cstheme="minorBidi"/>
          <w:bCs w:val="0"/>
          <w:color w:val="auto"/>
        </w:rPr>
      </w:pPr>
      <w:r>
        <w:t xml:space="preserve">Dorries, H. &amp; Harjo, L. (2020). Beyond safety: Refusing colonial violence through Indigenous feminist planning. </w:t>
      </w:r>
      <w:r>
        <w:rPr>
          <w:i/>
          <w:iCs/>
        </w:rPr>
        <w:t>Journal of Planning Education and Research, 40</w:t>
      </w:r>
      <w:r>
        <w:t>(2), 210-219.</w:t>
      </w:r>
    </w:p>
    <w:p w14:paraId="45FD61D5" w14:textId="639EDBCC" w:rsidR="009368F2" w:rsidRPr="00A3172F" w:rsidRDefault="009368F2" w:rsidP="00A3172F">
      <w:pPr>
        <w:pStyle w:val="ListParagraph"/>
        <w:ind w:left="4820" w:firstLine="720"/>
        <w:jc w:val="right"/>
        <w:rPr>
          <w:rStyle w:val="Strong"/>
          <w:rFonts w:asciiTheme="minorHAnsi" w:hAnsiTheme="minorHAnsi" w:cstheme="minorBidi"/>
          <w:bCs w:val="0"/>
          <w:i/>
          <w:color w:val="auto"/>
        </w:rPr>
      </w:pPr>
      <w:r>
        <w:rPr>
          <w:b/>
          <w:i/>
        </w:rPr>
        <w:t xml:space="preserve">Capstone Discussions </w:t>
      </w:r>
      <w:r w:rsidRPr="00CA4582">
        <w:rPr>
          <w:b/>
          <w:i/>
        </w:rPr>
        <w:t xml:space="preserve">November </w:t>
      </w:r>
      <w:r>
        <w:rPr>
          <w:b/>
          <w:i/>
        </w:rPr>
        <w:t>21-25</w:t>
      </w:r>
      <w:r w:rsidR="00506830">
        <w:rPr>
          <w:b/>
          <w:i/>
        </w:rPr>
        <w:t xml:space="preserve"> </w:t>
      </w:r>
    </w:p>
    <w:p w14:paraId="6C8EB63D" w14:textId="529206FD" w:rsidR="003D2D07" w:rsidRPr="00A3172F" w:rsidRDefault="004A5ABE" w:rsidP="00A3172F">
      <w:pPr>
        <w:pStyle w:val="Heading5-1C"/>
      </w:pPr>
      <w:r w:rsidRPr="00A3172F">
        <w:rPr>
          <w:rStyle w:val="Strong"/>
          <w:rFonts w:asciiTheme="minorHAnsi" w:hAnsiTheme="minorHAnsi"/>
          <w:b/>
          <w:bCs w:val="0"/>
          <w:szCs w:val="26"/>
        </w:rPr>
        <w:t>November 28/29</w:t>
      </w:r>
      <w:r w:rsidR="00172DA3" w:rsidRPr="00A3172F">
        <w:rPr>
          <w:rStyle w:val="Strong"/>
          <w:rFonts w:asciiTheme="minorHAnsi" w:hAnsiTheme="minorHAnsi"/>
          <w:b/>
          <w:bCs w:val="0"/>
          <w:szCs w:val="26"/>
        </w:rPr>
        <w:t>:</w:t>
      </w:r>
      <w:r w:rsidR="003D2D07" w:rsidRPr="00A3172F">
        <w:rPr>
          <w:rStyle w:val="Strong"/>
          <w:rFonts w:asciiTheme="minorHAnsi" w:hAnsiTheme="minorHAnsi"/>
          <w:b/>
          <w:bCs w:val="0"/>
          <w:szCs w:val="26"/>
        </w:rPr>
        <w:t xml:space="preserve"> </w:t>
      </w:r>
      <w:r w:rsidR="00D53906" w:rsidRPr="00A3172F">
        <w:t>Democratic Decay</w:t>
      </w:r>
    </w:p>
    <w:p w14:paraId="39F225EE" w14:textId="77777777" w:rsidR="003D2D07" w:rsidRPr="00123264" w:rsidRDefault="003D2D07" w:rsidP="003D2D07">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bookmarkEnd w:id="0"/>
    <w:p w14:paraId="4A5CE5FB" w14:textId="2EC69C63" w:rsidR="00042793" w:rsidRPr="00C417D3" w:rsidRDefault="00C417D3" w:rsidP="00726CFA">
      <w:pPr>
        <w:pStyle w:val="ListParagraph"/>
        <w:numPr>
          <w:ilvl w:val="1"/>
          <w:numId w:val="14"/>
        </w:numPr>
        <w:tabs>
          <w:tab w:val="left" w:pos="1395"/>
        </w:tabs>
        <w:ind w:left="993"/>
        <w:rPr>
          <w:rFonts w:ascii="OpenSans-Semibold" w:hAnsi="OpenSans-Semibold" w:cs="OpenSans-Semibold"/>
          <w:lang w:val="en-CA"/>
        </w:rPr>
      </w:pPr>
      <w:r>
        <w:rPr>
          <w:rFonts w:ascii="OpenSans-Semibold" w:hAnsi="OpenSans-Semibold" w:cs="OpenSans-Semibold"/>
          <w:lang w:val="en-CA"/>
        </w:rPr>
        <w:t xml:space="preserve">Stefan Foa, R. &amp; Mounk, Y. </w:t>
      </w:r>
      <w:r w:rsidR="00F23813">
        <w:rPr>
          <w:rFonts w:ascii="OpenSans-Semibold" w:hAnsi="OpenSans-Semibold" w:cs="OpenSans-Semibold"/>
          <w:lang w:val="en-CA"/>
        </w:rPr>
        <w:t xml:space="preserve">(2021). </w:t>
      </w:r>
      <w:r w:rsidRPr="00C417D3">
        <w:rPr>
          <w:rFonts w:ascii="OpenSans-Semibold" w:hAnsi="OpenSans-Semibold" w:cs="OpenSans-Semibold"/>
          <w:lang w:val="en-CA"/>
        </w:rPr>
        <w:t>America after Trump: from “clean” to “dirty”</w:t>
      </w:r>
      <w:r>
        <w:rPr>
          <w:rFonts w:ascii="OpenSans-Semibold" w:hAnsi="OpenSans-Semibold" w:cs="OpenSans-Semibold"/>
          <w:lang w:val="en-CA"/>
        </w:rPr>
        <w:t xml:space="preserve"> </w:t>
      </w:r>
      <w:r w:rsidRPr="00C417D3">
        <w:rPr>
          <w:rFonts w:ascii="OpenSans-Semibold" w:hAnsi="OpenSans-Semibold" w:cs="OpenSans-Semibold"/>
          <w:lang w:val="en-CA"/>
        </w:rPr>
        <w:t>democracy?</w:t>
      </w:r>
      <w:r>
        <w:rPr>
          <w:rFonts w:ascii="OpenSans-Semibold" w:hAnsi="OpenSans-Semibold" w:cs="OpenSans-Semibold"/>
          <w:lang w:val="en-CA"/>
        </w:rPr>
        <w:t xml:space="preserve"> </w:t>
      </w:r>
      <w:r w:rsidRPr="00C417D3">
        <w:rPr>
          <w:rFonts w:ascii="OpenSans-Semibold" w:hAnsi="OpenSans-Semibold" w:cs="OpenSans-Semibold"/>
          <w:i/>
          <w:iCs/>
          <w:lang w:val="en-CA"/>
        </w:rPr>
        <w:t>Policy Studies</w:t>
      </w:r>
      <w:r>
        <w:rPr>
          <w:rFonts w:ascii="OpenSans-Semibold" w:hAnsi="OpenSans-Semibold" w:cs="OpenSans-Semibold"/>
          <w:lang w:val="en-CA"/>
        </w:rPr>
        <w:t xml:space="preserve">, </w:t>
      </w:r>
      <w:r w:rsidR="00F23813">
        <w:rPr>
          <w:rFonts w:ascii="OpenSans-Semibold" w:hAnsi="OpenSans-Semibold" w:cs="OpenSans-Semibold"/>
          <w:i/>
          <w:iCs/>
          <w:lang w:val="en-CA"/>
        </w:rPr>
        <w:t>42</w:t>
      </w:r>
      <w:r w:rsidR="00F23813">
        <w:rPr>
          <w:rFonts w:ascii="OpenSans-Semibold" w:hAnsi="OpenSans-Semibold" w:cs="OpenSans-Semibold"/>
          <w:lang w:val="en-CA"/>
        </w:rPr>
        <w:t>(5-6),</w:t>
      </w:r>
      <w:r>
        <w:rPr>
          <w:rFonts w:ascii="OpenSans-Semibold" w:hAnsi="OpenSans-Semibold" w:cs="OpenSans-Semibold"/>
          <w:lang w:val="en-CA"/>
        </w:rPr>
        <w:t xml:space="preserve"> </w:t>
      </w:r>
      <w:r w:rsidRPr="00C417D3">
        <w:rPr>
          <w:rFonts w:ascii="OpenSans-Semibold" w:hAnsi="OpenSans-Semibold" w:cs="OpenSans-Semibold"/>
          <w:lang w:val="en-CA"/>
        </w:rPr>
        <w:t>455-472</w:t>
      </w:r>
      <w:r>
        <w:rPr>
          <w:rFonts w:ascii="OpenSans-Semibold" w:hAnsi="OpenSans-Semibold" w:cs="OpenSans-Semibold"/>
          <w:lang w:val="en-CA"/>
        </w:rPr>
        <w:t>.</w:t>
      </w:r>
    </w:p>
    <w:p w14:paraId="0FC99B52" w14:textId="080AE12A" w:rsidR="00C417D3" w:rsidRPr="00812CA0" w:rsidRDefault="00812CA0" w:rsidP="00726CFA">
      <w:pPr>
        <w:pStyle w:val="ListParagraph"/>
        <w:numPr>
          <w:ilvl w:val="1"/>
          <w:numId w:val="14"/>
        </w:numPr>
        <w:tabs>
          <w:tab w:val="left" w:pos="1395"/>
        </w:tabs>
        <w:ind w:left="993"/>
        <w:rPr>
          <w:rStyle w:val="Strong"/>
          <w:rFonts w:asciiTheme="minorHAnsi" w:hAnsiTheme="minorHAnsi" w:cstheme="minorHAnsi"/>
          <w:b w:val="0"/>
          <w:bCs w:val="0"/>
          <w:sz w:val="26"/>
          <w:szCs w:val="26"/>
        </w:rPr>
      </w:pPr>
      <w:r w:rsidRPr="00812CA0">
        <w:rPr>
          <w:rStyle w:val="Strong"/>
          <w:rFonts w:asciiTheme="minorHAnsi" w:hAnsiTheme="minorHAnsi" w:cstheme="minorHAnsi"/>
          <w:b w:val="0"/>
          <w:bCs w:val="0"/>
        </w:rPr>
        <w:t>Glasius, M. (2018).  What authoritarianism is … and is not: a practice perspective</w:t>
      </w:r>
      <w:r>
        <w:rPr>
          <w:rStyle w:val="Strong"/>
          <w:rFonts w:asciiTheme="minorHAnsi" w:hAnsiTheme="minorHAnsi" w:cstheme="minorHAnsi"/>
          <w:b w:val="0"/>
          <w:bCs w:val="0"/>
        </w:rPr>
        <w:t xml:space="preserve">.  </w:t>
      </w:r>
      <w:r w:rsidRPr="00812CA0">
        <w:rPr>
          <w:rStyle w:val="Strong"/>
          <w:rFonts w:asciiTheme="minorHAnsi" w:hAnsiTheme="minorHAnsi" w:cstheme="minorHAnsi"/>
          <w:b w:val="0"/>
          <w:bCs w:val="0"/>
          <w:i/>
          <w:iCs/>
        </w:rPr>
        <w:t>International Affairs</w:t>
      </w:r>
      <w:r>
        <w:rPr>
          <w:rStyle w:val="Strong"/>
          <w:rFonts w:asciiTheme="minorHAnsi" w:hAnsiTheme="minorHAnsi" w:cstheme="minorHAnsi"/>
          <w:b w:val="0"/>
          <w:bCs w:val="0"/>
        </w:rPr>
        <w:t xml:space="preserve">, </w:t>
      </w:r>
      <w:r w:rsidRPr="00923041">
        <w:rPr>
          <w:rStyle w:val="Strong"/>
          <w:rFonts w:asciiTheme="minorHAnsi" w:hAnsiTheme="minorHAnsi" w:cstheme="minorHAnsi"/>
          <w:b w:val="0"/>
          <w:bCs w:val="0"/>
          <w:i/>
          <w:iCs/>
        </w:rPr>
        <w:t>94</w:t>
      </w:r>
      <w:r w:rsidR="00923041">
        <w:rPr>
          <w:rStyle w:val="Strong"/>
          <w:rFonts w:asciiTheme="minorHAnsi" w:hAnsiTheme="minorHAnsi" w:cstheme="minorHAnsi"/>
          <w:b w:val="0"/>
          <w:bCs w:val="0"/>
        </w:rPr>
        <w:t>(3),</w:t>
      </w:r>
      <w:r>
        <w:rPr>
          <w:rStyle w:val="Strong"/>
          <w:rFonts w:asciiTheme="minorHAnsi" w:hAnsiTheme="minorHAnsi" w:cstheme="minorHAnsi"/>
          <w:b w:val="0"/>
          <w:bCs w:val="0"/>
        </w:rPr>
        <w:t xml:space="preserve"> 515-534. </w:t>
      </w:r>
    </w:p>
    <w:p w14:paraId="78A33A27" w14:textId="7C3A181A" w:rsidR="009368F2" w:rsidRPr="00A3172F" w:rsidRDefault="009368F2" w:rsidP="00A3172F">
      <w:pPr>
        <w:pStyle w:val="ListParagraph"/>
        <w:ind w:left="3261" w:firstLine="11"/>
        <w:jc w:val="right"/>
        <w:rPr>
          <w:rStyle w:val="Strong"/>
          <w:rFonts w:asciiTheme="minorHAnsi" w:hAnsiTheme="minorHAnsi" w:cstheme="minorBidi"/>
          <w:bCs w:val="0"/>
          <w:i/>
          <w:color w:val="auto"/>
        </w:rPr>
      </w:pPr>
      <w:r>
        <w:rPr>
          <w:b/>
          <w:i/>
        </w:rPr>
        <w:t xml:space="preserve">Capstone Discussions </w:t>
      </w:r>
      <w:r w:rsidRPr="00CA4582">
        <w:rPr>
          <w:b/>
          <w:i/>
        </w:rPr>
        <w:t xml:space="preserve">November </w:t>
      </w:r>
      <w:r>
        <w:rPr>
          <w:b/>
          <w:i/>
        </w:rPr>
        <w:t>28-December 2</w:t>
      </w:r>
      <w:r w:rsidR="00506830">
        <w:rPr>
          <w:b/>
          <w:i/>
        </w:rPr>
        <w:t xml:space="preserve"> (as needed)</w:t>
      </w:r>
    </w:p>
    <w:p w14:paraId="17932C46" w14:textId="2380117D" w:rsidR="003D2D07" w:rsidRPr="00A3172F" w:rsidRDefault="00CA4582" w:rsidP="00A3172F">
      <w:pPr>
        <w:pStyle w:val="Heading5-1C"/>
      </w:pPr>
      <w:r w:rsidRPr="00A3172F">
        <w:rPr>
          <w:rStyle w:val="Strong"/>
          <w:rFonts w:asciiTheme="minorHAnsi" w:hAnsiTheme="minorHAnsi" w:cstheme="minorHAnsi"/>
          <w:b/>
          <w:bCs w:val="0"/>
          <w:color w:val="auto"/>
        </w:rPr>
        <w:t xml:space="preserve">December </w:t>
      </w:r>
      <w:r w:rsidR="008D02D7" w:rsidRPr="00A3172F">
        <w:rPr>
          <w:rStyle w:val="Strong"/>
          <w:rFonts w:asciiTheme="minorHAnsi" w:hAnsiTheme="minorHAnsi" w:cstheme="minorHAnsi"/>
          <w:b/>
          <w:bCs w:val="0"/>
          <w:color w:val="auto"/>
        </w:rPr>
        <w:t>5</w:t>
      </w:r>
      <w:r w:rsidR="000264D4" w:rsidRPr="00A3172F">
        <w:rPr>
          <w:rStyle w:val="Strong"/>
          <w:rFonts w:asciiTheme="minorHAnsi" w:hAnsiTheme="minorHAnsi" w:cstheme="minorHAnsi"/>
          <w:b/>
          <w:bCs w:val="0"/>
          <w:color w:val="auto"/>
        </w:rPr>
        <w:t>/6</w:t>
      </w:r>
      <w:r w:rsidR="003D2D07" w:rsidRPr="00A3172F">
        <w:rPr>
          <w:rStyle w:val="Strong"/>
          <w:rFonts w:asciiTheme="minorHAnsi" w:hAnsiTheme="minorHAnsi" w:cstheme="minorHAnsi"/>
          <w:b/>
          <w:bCs w:val="0"/>
          <w:color w:val="auto"/>
        </w:rPr>
        <w:t>:</w:t>
      </w:r>
      <w:r w:rsidR="003D2D07" w:rsidRPr="00A3172F">
        <w:t xml:space="preserve"> </w:t>
      </w:r>
      <w:r w:rsidR="00126555" w:rsidRPr="00A3172F">
        <w:t xml:space="preserve">Political Depression, </w:t>
      </w:r>
      <w:r w:rsidR="0007778D" w:rsidRPr="00A3172F">
        <w:t>Critical Hope</w:t>
      </w:r>
      <w:r w:rsidR="00126555" w:rsidRPr="00A3172F">
        <w:t xml:space="preserve">, and </w:t>
      </w:r>
      <w:r w:rsidR="0007778D" w:rsidRPr="00A3172F">
        <w:t>the Emotions of Social Change</w:t>
      </w:r>
    </w:p>
    <w:p w14:paraId="473DEBBF" w14:textId="76079037" w:rsidR="0007778D" w:rsidRPr="001C1910" w:rsidRDefault="00F4101E" w:rsidP="00726CFA">
      <w:pPr>
        <w:numPr>
          <w:ilvl w:val="2"/>
          <w:numId w:val="15"/>
        </w:numPr>
        <w:ind w:left="993"/>
        <w:rPr>
          <w:b/>
          <w:i/>
          <w:iCs/>
        </w:rPr>
      </w:pPr>
      <w:r>
        <w:t>Muñoz, J.E. (20</w:t>
      </w:r>
      <w:r w:rsidR="00076223">
        <w:t xml:space="preserve">09/2019). </w:t>
      </w:r>
      <w:r w:rsidR="00FB242A">
        <w:t xml:space="preserve">Selection from </w:t>
      </w:r>
      <w:r w:rsidR="00076223">
        <w:t xml:space="preserve">Introduction: Feeling utopia. In </w:t>
      </w:r>
      <w:r w:rsidR="0007778D">
        <w:rPr>
          <w:i/>
          <w:iCs/>
        </w:rPr>
        <w:t>Cruising Utopia</w:t>
      </w:r>
      <w:r w:rsidR="00076223">
        <w:rPr>
          <w:i/>
          <w:iCs/>
        </w:rPr>
        <w:t>: The Then and There of Queer Futurity</w:t>
      </w:r>
      <w:r w:rsidR="00076223">
        <w:t>, 10</w:t>
      </w:r>
      <w:r w:rsidR="00076223" w:rsidRPr="00076223">
        <w:rPr>
          <w:vertAlign w:val="superscript"/>
        </w:rPr>
        <w:t>th</w:t>
      </w:r>
      <w:r w:rsidR="00076223">
        <w:t xml:space="preserve"> Anniversary Ed. (pp. 1-1</w:t>
      </w:r>
      <w:r w:rsidR="00FB242A">
        <w:t>5</w:t>
      </w:r>
      <w:r w:rsidR="00076223">
        <w:t>)</w:t>
      </w:r>
      <w:r w:rsidR="007263FC">
        <w:t>. New York University Press</w:t>
      </w:r>
      <w:r w:rsidR="00076223">
        <w:t>.</w:t>
      </w:r>
    </w:p>
    <w:p w14:paraId="0A7327B4" w14:textId="6ED42AE6" w:rsidR="001C1910" w:rsidRPr="0007778D" w:rsidRDefault="00BE7EAB" w:rsidP="00726CFA">
      <w:pPr>
        <w:numPr>
          <w:ilvl w:val="2"/>
          <w:numId w:val="15"/>
        </w:numPr>
        <w:ind w:left="993"/>
        <w:rPr>
          <w:b/>
          <w:i/>
          <w:iCs/>
        </w:rPr>
      </w:pPr>
      <w:r>
        <w:t>Cvetkovic</w:t>
      </w:r>
      <w:r w:rsidR="00076223">
        <w:t xml:space="preserve">h, A. (2012). Selection from Introduction. In </w:t>
      </w:r>
      <w:r w:rsidR="00103ADE">
        <w:rPr>
          <w:i/>
          <w:iCs/>
        </w:rPr>
        <w:t>Depression: A Public Feeling</w:t>
      </w:r>
      <w:r w:rsidR="00076223">
        <w:rPr>
          <w:i/>
          <w:iCs/>
        </w:rPr>
        <w:t xml:space="preserve"> </w:t>
      </w:r>
      <w:r w:rsidR="00076223">
        <w:t>(pp. 1-1</w:t>
      </w:r>
      <w:r w:rsidR="00AD2534">
        <w:t>7</w:t>
      </w:r>
      <w:r w:rsidR="00076223">
        <w:t xml:space="preserve">). </w:t>
      </w:r>
      <w:r w:rsidR="007263FC">
        <w:t>Duke University Press.</w:t>
      </w:r>
    </w:p>
    <w:p w14:paraId="743E54A0" w14:textId="26D8F077" w:rsidR="00CA4582" w:rsidRDefault="00CA4582" w:rsidP="008E6F29">
      <w:pPr>
        <w:pStyle w:val="ListParagraph"/>
        <w:ind w:left="4820" w:firstLine="720"/>
        <w:rPr>
          <w:b/>
          <w:i/>
        </w:rPr>
      </w:pPr>
      <w:r w:rsidRPr="00CA4582">
        <w:rPr>
          <w:b/>
          <w:i/>
        </w:rPr>
        <w:t xml:space="preserve">Capstone Essays due on December </w:t>
      </w:r>
      <w:r w:rsidR="00336E32">
        <w:rPr>
          <w:b/>
          <w:i/>
        </w:rPr>
        <w:t>12</w:t>
      </w:r>
    </w:p>
    <w:p w14:paraId="0241EE9A" w14:textId="6B8DCD9C" w:rsidR="008D02D7" w:rsidRDefault="008D02D7" w:rsidP="008D02D7">
      <w:pPr>
        <w:rPr>
          <w:b/>
          <w:i/>
        </w:rPr>
      </w:pPr>
    </w:p>
    <w:p w14:paraId="3A15C558" w14:textId="27DF29C1" w:rsidR="00336E32" w:rsidRPr="00A3172F" w:rsidRDefault="00336E32" w:rsidP="00A3172F">
      <w:pPr>
        <w:pStyle w:val="Heading3"/>
      </w:pPr>
      <w:r w:rsidRPr="00F25253">
        <w:t>Term 2</w:t>
      </w:r>
    </w:p>
    <w:p w14:paraId="78C0BB84" w14:textId="2AC0BCE4" w:rsidR="007613BA" w:rsidRPr="00A3172F" w:rsidRDefault="0007778D" w:rsidP="00A3172F">
      <w:pPr>
        <w:pStyle w:val="Heading5-1C"/>
        <w:rPr>
          <w:bCs/>
        </w:rPr>
      </w:pPr>
      <w:r w:rsidRPr="00A3172F">
        <w:rPr>
          <w:rStyle w:val="Strong"/>
          <w:rFonts w:asciiTheme="minorHAnsi" w:hAnsiTheme="minorHAnsi"/>
          <w:b/>
          <w:bCs w:val="0"/>
          <w:szCs w:val="26"/>
        </w:rPr>
        <w:t>January 9/10</w:t>
      </w:r>
      <w:r w:rsidR="007613BA" w:rsidRPr="00A3172F">
        <w:rPr>
          <w:rStyle w:val="Strong"/>
          <w:rFonts w:asciiTheme="minorHAnsi" w:hAnsiTheme="minorHAnsi"/>
          <w:b/>
          <w:bCs w:val="0"/>
          <w:szCs w:val="26"/>
        </w:rPr>
        <w:t>:</w:t>
      </w:r>
      <w:r w:rsidR="007613BA" w:rsidRPr="00A3172F">
        <w:rPr>
          <w:bCs/>
        </w:rPr>
        <w:t xml:space="preserve"> </w:t>
      </w:r>
      <w:r w:rsidR="007613BA" w:rsidRPr="00A3172F">
        <w:t>‘Development’ and Justice</w:t>
      </w:r>
      <w:r w:rsidR="007613BA" w:rsidRPr="00A3172F">
        <w:rPr>
          <w:bCs/>
        </w:rPr>
        <w:t xml:space="preserve"> </w:t>
      </w:r>
    </w:p>
    <w:p w14:paraId="14E6A46D" w14:textId="77777777" w:rsidR="007613BA" w:rsidRPr="00123264" w:rsidRDefault="007613BA" w:rsidP="007613BA">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1D5E3676" w14:textId="41277BC5" w:rsidR="002C4FED" w:rsidRDefault="0023322E" w:rsidP="00726CFA">
      <w:pPr>
        <w:numPr>
          <w:ilvl w:val="2"/>
          <w:numId w:val="15"/>
        </w:numPr>
        <w:ind w:left="993"/>
      </w:pPr>
      <w:r>
        <w:t>Esteva, G. &amp; Escobar, A</w:t>
      </w:r>
      <w:r w:rsidR="002C4FED">
        <w:t xml:space="preserve">. (2019). </w:t>
      </w:r>
      <w:r>
        <w:t>Postdevelopment @ 25. On “being stuck” and moving forward, sideways, backward and otherwise</w:t>
      </w:r>
      <w:r w:rsidR="002C4FED">
        <w:t xml:space="preserve">. In </w:t>
      </w:r>
      <w:r w:rsidR="00CA2064">
        <w:t xml:space="preserve">E. Klein &amp; C.E. Morreo (eds.), </w:t>
      </w:r>
      <w:r w:rsidR="00CA2064">
        <w:rPr>
          <w:i/>
          <w:iCs/>
        </w:rPr>
        <w:t>Postdevelopment in Practice. Alternatives, Economies, Ontologies</w:t>
      </w:r>
      <w:r w:rsidR="00CA2064">
        <w:t xml:space="preserve"> (pp. </w:t>
      </w:r>
      <w:r>
        <w:t>21-36</w:t>
      </w:r>
      <w:r w:rsidR="00CA2064">
        <w:t>). Routledge</w:t>
      </w:r>
      <w:r w:rsidR="007E25CF">
        <w:t>.</w:t>
      </w:r>
    </w:p>
    <w:p w14:paraId="524A5A7C" w14:textId="41764C4C" w:rsidR="007613BA" w:rsidRPr="00A3172F" w:rsidRDefault="005144AC" w:rsidP="00A3172F">
      <w:pPr>
        <w:numPr>
          <w:ilvl w:val="2"/>
          <w:numId w:val="15"/>
        </w:numPr>
        <w:ind w:left="993"/>
      </w:pPr>
      <w:r>
        <w:t xml:space="preserve">Gudynas, E. (2021). Postdevelopment and other critiques of development. In H. Veltmeyer &amp; P. Bowles (eds.), </w:t>
      </w:r>
      <w:r>
        <w:rPr>
          <w:i/>
          <w:iCs/>
        </w:rPr>
        <w:t xml:space="preserve">The Essential Guide to Critical Development Studies </w:t>
      </w:r>
      <w:r>
        <w:t>(2</w:t>
      </w:r>
      <w:r w:rsidRPr="00CA2064">
        <w:rPr>
          <w:vertAlign w:val="superscript"/>
        </w:rPr>
        <w:t>nd</w:t>
      </w:r>
      <w:r>
        <w:t xml:space="preserve"> ed.), (pp. 49-56). Routledge.</w:t>
      </w:r>
    </w:p>
    <w:p w14:paraId="73FCC91E" w14:textId="5EB3868B" w:rsidR="008D02D7" w:rsidRPr="00A3172F" w:rsidRDefault="008D02D7" w:rsidP="00A3172F">
      <w:pPr>
        <w:pStyle w:val="Heading5-1C"/>
      </w:pPr>
      <w:r w:rsidRPr="00A3172F">
        <w:rPr>
          <w:rStyle w:val="Strong"/>
          <w:rFonts w:asciiTheme="minorHAnsi" w:hAnsiTheme="minorHAnsi" w:cstheme="minorHAnsi"/>
          <w:b/>
          <w:bCs w:val="0"/>
          <w:color w:val="auto"/>
        </w:rPr>
        <w:t xml:space="preserve">January </w:t>
      </w:r>
      <w:r w:rsidR="0007778D" w:rsidRPr="00A3172F">
        <w:rPr>
          <w:rStyle w:val="Strong"/>
          <w:rFonts w:asciiTheme="minorHAnsi" w:hAnsiTheme="minorHAnsi" w:cstheme="minorHAnsi"/>
          <w:b/>
          <w:bCs w:val="0"/>
          <w:color w:val="auto"/>
        </w:rPr>
        <w:t>16/17</w:t>
      </w:r>
      <w:r w:rsidRPr="00A3172F">
        <w:rPr>
          <w:rStyle w:val="Strong"/>
          <w:rFonts w:asciiTheme="minorHAnsi" w:hAnsiTheme="minorHAnsi" w:cstheme="minorHAnsi"/>
          <w:b/>
          <w:bCs w:val="0"/>
          <w:color w:val="auto"/>
        </w:rPr>
        <w:t xml:space="preserve">: </w:t>
      </w:r>
      <w:r w:rsidR="00D53906" w:rsidRPr="00A3172F">
        <w:t>Corporate Social Responsibility</w:t>
      </w:r>
    </w:p>
    <w:p w14:paraId="6698C95F" w14:textId="77777777" w:rsidR="0017099A" w:rsidRDefault="008D02D7" w:rsidP="0017099A">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0012435E" w14:textId="48649424" w:rsidR="0017099A" w:rsidRPr="002F5C54" w:rsidRDefault="0017099A" w:rsidP="00726CFA">
      <w:pPr>
        <w:pStyle w:val="ListParagraph"/>
        <w:numPr>
          <w:ilvl w:val="1"/>
          <w:numId w:val="14"/>
        </w:numPr>
        <w:ind w:left="993"/>
        <w:rPr>
          <w:rFonts w:cs="Arial"/>
          <w:b/>
          <w:bCs/>
          <w:color w:val="000000"/>
        </w:rPr>
      </w:pPr>
      <w:r w:rsidRPr="0017099A">
        <w:t>Kishen Gamu</w:t>
      </w:r>
      <w:r>
        <w:t xml:space="preserve">, J. </w:t>
      </w:r>
      <w:r w:rsidR="002F5C54" w:rsidRPr="002F5C54">
        <w:t xml:space="preserve">&amp; Dauvergne, P. </w:t>
      </w:r>
      <w:r w:rsidR="002F5C54">
        <w:t xml:space="preserve">(2018). </w:t>
      </w:r>
      <w:r>
        <w:t>The slow violence of corporate social responsibility: the case of mining in Peru</w:t>
      </w:r>
      <w:r w:rsidR="002F5C54">
        <w:t xml:space="preserve">. </w:t>
      </w:r>
      <w:r w:rsidR="002F5C54" w:rsidRPr="002F5C54">
        <w:rPr>
          <w:i/>
          <w:iCs/>
        </w:rPr>
        <w:t>Third World Quarterly</w:t>
      </w:r>
      <w:r w:rsidR="002F5C54">
        <w:t xml:space="preserve">, </w:t>
      </w:r>
      <w:r w:rsidR="002F5C54" w:rsidRPr="00446ACB">
        <w:rPr>
          <w:i/>
          <w:iCs/>
        </w:rPr>
        <w:t>39</w:t>
      </w:r>
      <w:r w:rsidR="00446ACB">
        <w:t>(5)</w:t>
      </w:r>
      <w:r w:rsidR="002F5C54">
        <w:t>, 959-975.</w:t>
      </w:r>
    </w:p>
    <w:p w14:paraId="35EDB89B" w14:textId="741D7A20" w:rsidR="008D02D7" w:rsidRPr="00A3172F" w:rsidRDefault="0017099A" w:rsidP="008D02D7">
      <w:pPr>
        <w:pStyle w:val="ListParagraph"/>
        <w:numPr>
          <w:ilvl w:val="1"/>
          <w:numId w:val="14"/>
        </w:numPr>
        <w:ind w:left="993"/>
        <w:rPr>
          <w:rFonts w:cs="Arial"/>
          <w:b/>
          <w:bCs/>
          <w:color w:val="000000"/>
        </w:rPr>
      </w:pPr>
      <w:r w:rsidRPr="002F5C54">
        <w:rPr>
          <w:rFonts w:cs="Arial"/>
          <w:color w:val="1A1A1A"/>
        </w:rPr>
        <w:t xml:space="preserve">Chunghee Kim, R. (2022). Rethinking </w:t>
      </w:r>
      <w:r w:rsidR="00AE1762">
        <w:rPr>
          <w:rFonts w:cs="Arial"/>
          <w:color w:val="1A1A1A"/>
        </w:rPr>
        <w:t>c</w:t>
      </w:r>
      <w:r w:rsidRPr="002F5C54">
        <w:rPr>
          <w:rFonts w:cs="Arial"/>
          <w:color w:val="1A1A1A"/>
        </w:rPr>
        <w:t xml:space="preserve">orporate </w:t>
      </w:r>
      <w:r w:rsidR="00AE1762">
        <w:rPr>
          <w:rFonts w:cs="Arial"/>
          <w:color w:val="1A1A1A"/>
        </w:rPr>
        <w:t>s</w:t>
      </w:r>
      <w:r w:rsidRPr="002F5C54">
        <w:rPr>
          <w:rFonts w:cs="Arial"/>
          <w:color w:val="1A1A1A"/>
        </w:rPr>
        <w:t xml:space="preserve">ocial </w:t>
      </w:r>
      <w:r w:rsidR="00AE1762">
        <w:rPr>
          <w:rFonts w:cs="Arial"/>
          <w:color w:val="1A1A1A"/>
        </w:rPr>
        <w:t>r</w:t>
      </w:r>
      <w:r w:rsidRPr="002F5C54">
        <w:rPr>
          <w:rFonts w:cs="Arial"/>
          <w:color w:val="1A1A1A"/>
        </w:rPr>
        <w:t xml:space="preserve">esponsibility under </w:t>
      </w:r>
      <w:r w:rsidR="00AE1762">
        <w:rPr>
          <w:rFonts w:cs="Arial"/>
          <w:color w:val="1A1A1A"/>
        </w:rPr>
        <w:t>c</w:t>
      </w:r>
      <w:r w:rsidRPr="002F5C54">
        <w:rPr>
          <w:rFonts w:cs="Arial"/>
          <w:color w:val="1A1A1A"/>
        </w:rPr>
        <w:t xml:space="preserve">ontemporary </w:t>
      </w:r>
      <w:r w:rsidR="00AE1762">
        <w:rPr>
          <w:rFonts w:cs="Arial"/>
          <w:color w:val="1A1A1A"/>
        </w:rPr>
        <w:t>c</w:t>
      </w:r>
      <w:r w:rsidRPr="002F5C54">
        <w:rPr>
          <w:rFonts w:cs="Arial"/>
          <w:color w:val="1A1A1A"/>
        </w:rPr>
        <w:t xml:space="preserve">apitalism: Five </w:t>
      </w:r>
      <w:r w:rsidR="00AE1762">
        <w:rPr>
          <w:rFonts w:cs="Arial"/>
          <w:color w:val="1A1A1A"/>
        </w:rPr>
        <w:t>w</w:t>
      </w:r>
      <w:r w:rsidRPr="002F5C54">
        <w:rPr>
          <w:rFonts w:cs="Arial"/>
          <w:color w:val="1A1A1A"/>
        </w:rPr>
        <w:t xml:space="preserve">ays to </w:t>
      </w:r>
      <w:r w:rsidR="00AE1762">
        <w:rPr>
          <w:rFonts w:cs="Arial"/>
          <w:color w:val="1A1A1A"/>
        </w:rPr>
        <w:t>r</w:t>
      </w:r>
      <w:r w:rsidRPr="002F5C54">
        <w:rPr>
          <w:rFonts w:cs="Arial"/>
          <w:color w:val="1A1A1A"/>
        </w:rPr>
        <w:t xml:space="preserve">einvent CSM.  </w:t>
      </w:r>
      <w:r w:rsidRPr="002F5C54">
        <w:rPr>
          <w:rFonts w:cs="Arial"/>
          <w:i/>
          <w:iCs/>
          <w:color w:val="1A1A1A"/>
        </w:rPr>
        <w:t>Business Ethics, the Environment, and Responsibility</w:t>
      </w:r>
      <w:r w:rsidRPr="002F5C54">
        <w:rPr>
          <w:rFonts w:cs="Arial"/>
          <w:color w:val="1A1A1A"/>
        </w:rPr>
        <w:t xml:space="preserve">, </w:t>
      </w:r>
      <w:r w:rsidRPr="000C3E62">
        <w:rPr>
          <w:rFonts w:cs="Arial"/>
          <w:i/>
          <w:iCs/>
          <w:color w:val="1A1A1A"/>
        </w:rPr>
        <w:t>31</w:t>
      </w:r>
      <w:r w:rsidR="000C3E62">
        <w:rPr>
          <w:rFonts w:cs="Arial"/>
          <w:color w:val="1A1A1A"/>
        </w:rPr>
        <w:t>(2),</w:t>
      </w:r>
      <w:r w:rsidRPr="002F5C54">
        <w:rPr>
          <w:rFonts w:cs="Arial"/>
          <w:color w:val="1A1A1A"/>
        </w:rPr>
        <w:t xml:space="preserve"> 346-362.</w:t>
      </w:r>
    </w:p>
    <w:p w14:paraId="20461A6E" w14:textId="174AFABB" w:rsidR="007613BA" w:rsidRPr="00A3172F" w:rsidRDefault="0007778D" w:rsidP="00A3172F">
      <w:pPr>
        <w:pStyle w:val="Heading5-1C"/>
        <w:rPr>
          <w:bCs/>
        </w:rPr>
      </w:pPr>
      <w:r w:rsidRPr="00A3172F">
        <w:rPr>
          <w:rStyle w:val="Strong"/>
          <w:rFonts w:asciiTheme="minorHAnsi" w:hAnsiTheme="minorHAnsi"/>
          <w:b/>
          <w:bCs w:val="0"/>
          <w:szCs w:val="26"/>
        </w:rPr>
        <w:lastRenderedPageBreak/>
        <w:t xml:space="preserve">January 23/24: </w:t>
      </w:r>
      <w:r w:rsidR="00336E32" w:rsidRPr="00A3172F">
        <w:rPr>
          <w:rStyle w:val="Strong"/>
          <w:rFonts w:asciiTheme="minorHAnsi" w:hAnsiTheme="minorHAnsi"/>
          <w:b/>
          <w:bCs w:val="0"/>
          <w:szCs w:val="26"/>
        </w:rPr>
        <w:t>(Non)</w:t>
      </w:r>
      <w:r w:rsidR="007613BA" w:rsidRPr="00A3172F">
        <w:t>Violence and Resistance</w:t>
      </w:r>
    </w:p>
    <w:p w14:paraId="3C70BCB6" w14:textId="77777777" w:rsidR="007613BA" w:rsidRPr="00123264" w:rsidRDefault="007613BA" w:rsidP="007613BA">
      <w:pPr>
        <w:numPr>
          <w:ilvl w:val="1"/>
          <w:numId w:val="14"/>
        </w:numPr>
        <w:ind w:left="540"/>
        <w:rPr>
          <w:rStyle w:val="Strong"/>
          <w:rFonts w:asciiTheme="minorHAnsi" w:hAnsiTheme="minorHAnsi"/>
        </w:rPr>
      </w:pPr>
      <w:r w:rsidRPr="00123264">
        <w:rPr>
          <w:rStyle w:val="Strong"/>
          <w:rFonts w:asciiTheme="minorHAnsi" w:hAnsiTheme="minorHAnsi"/>
        </w:rPr>
        <w:t xml:space="preserve">Required Readings: </w:t>
      </w:r>
    </w:p>
    <w:p w14:paraId="60218E03" w14:textId="77777777" w:rsidR="007613BA" w:rsidRPr="00CA4582" w:rsidRDefault="007613BA" w:rsidP="00726CFA">
      <w:pPr>
        <w:numPr>
          <w:ilvl w:val="2"/>
          <w:numId w:val="15"/>
        </w:numPr>
        <w:ind w:left="993"/>
      </w:pPr>
      <w:r w:rsidRPr="00CA4582">
        <w:t xml:space="preserve">Johnson, A.E. (2018). Dislocations and shutdowns: MLK, BLM and the rhetoric of confrontation. </w:t>
      </w:r>
      <w:r w:rsidRPr="00CA4582">
        <w:rPr>
          <w:i/>
          <w:iCs/>
        </w:rPr>
        <w:t>Journal of Contemporary Rhetoric, 8</w:t>
      </w:r>
      <w:r w:rsidRPr="00CA4582">
        <w:t>(3), 137-145.</w:t>
      </w:r>
    </w:p>
    <w:p w14:paraId="0251EC99" w14:textId="0357AC92" w:rsidR="007613BA" w:rsidRDefault="007613BA" w:rsidP="00726CFA">
      <w:pPr>
        <w:numPr>
          <w:ilvl w:val="2"/>
          <w:numId w:val="15"/>
        </w:numPr>
        <w:ind w:left="993"/>
      </w:pPr>
      <w:r w:rsidRPr="00CA4582">
        <w:t>Loomba,</w:t>
      </w:r>
      <w:r>
        <w:t xml:space="preserve"> A. (2014). The violence of Gandhi’s non-violence. </w:t>
      </w:r>
      <w:r>
        <w:rPr>
          <w:i/>
          <w:iCs/>
        </w:rPr>
        <w:t>India International Centre Quarterly, 41</w:t>
      </w:r>
      <w:r>
        <w:t>(1), 19-37.</w:t>
      </w:r>
    </w:p>
    <w:p w14:paraId="54D46027" w14:textId="2EC3B7C1" w:rsidR="008D02D7" w:rsidRPr="00A3172F" w:rsidRDefault="001C1BCA" w:rsidP="008D02D7">
      <w:pPr>
        <w:numPr>
          <w:ilvl w:val="2"/>
          <w:numId w:val="15"/>
        </w:numPr>
        <w:ind w:left="993"/>
      </w:pPr>
      <w:r>
        <w:t xml:space="preserve">Chenoweth, E. (2022). Can nonviolent resistance survive COVID-19? </w:t>
      </w:r>
      <w:r>
        <w:rPr>
          <w:i/>
          <w:iCs/>
        </w:rPr>
        <w:t>Journal of Human Rights, 21</w:t>
      </w:r>
      <w:r>
        <w:t>(3), 304-316.</w:t>
      </w:r>
    </w:p>
    <w:p w14:paraId="69E503D8" w14:textId="69BB61E5" w:rsidR="008D02D7" w:rsidRPr="00A3172F" w:rsidRDefault="00D920F5" w:rsidP="00A3172F">
      <w:pPr>
        <w:pStyle w:val="Heading5-1C"/>
      </w:pPr>
      <w:r w:rsidRPr="00A3172F">
        <w:t xml:space="preserve">January </w:t>
      </w:r>
      <w:r w:rsidR="0007778D" w:rsidRPr="00A3172F">
        <w:t>30</w:t>
      </w:r>
      <w:r w:rsidRPr="00A3172F">
        <w:t>/</w:t>
      </w:r>
      <w:r w:rsidR="0007778D" w:rsidRPr="00A3172F">
        <w:t>31</w:t>
      </w:r>
      <w:r w:rsidR="008D02D7" w:rsidRPr="00A3172F">
        <w:t xml:space="preserve">: </w:t>
      </w:r>
      <w:r w:rsidR="00D53906" w:rsidRPr="00A3172F">
        <w:t>The Union Movement</w:t>
      </w:r>
    </w:p>
    <w:p w14:paraId="5F55AC9F" w14:textId="6B1107E5" w:rsidR="008D02D7" w:rsidRDefault="008D02D7" w:rsidP="002F5C54">
      <w:pPr>
        <w:numPr>
          <w:ilvl w:val="1"/>
          <w:numId w:val="14"/>
        </w:numPr>
        <w:ind w:left="540"/>
        <w:rPr>
          <w:rFonts w:cstheme="minorHAnsi"/>
          <w:b/>
          <w:bCs/>
          <w:color w:val="000000"/>
        </w:rPr>
      </w:pPr>
      <w:r w:rsidRPr="008D02D7">
        <w:rPr>
          <w:rFonts w:cstheme="minorHAnsi"/>
          <w:b/>
          <w:bCs/>
          <w:color w:val="000000"/>
        </w:rPr>
        <w:t xml:space="preserve">Required Readings: </w:t>
      </w:r>
    </w:p>
    <w:p w14:paraId="610B75FB" w14:textId="7D28BEED" w:rsidR="00F005EB" w:rsidRDefault="00BC1B7F" w:rsidP="00726CFA">
      <w:pPr>
        <w:numPr>
          <w:ilvl w:val="1"/>
          <w:numId w:val="14"/>
        </w:numPr>
        <w:ind w:left="993"/>
        <w:rPr>
          <w:rFonts w:cstheme="minorHAnsi"/>
          <w:color w:val="000000"/>
        </w:rPr>
      </w:pPr>
      <w:r w:rsidRPr="00BC1B7F">
        <w:rPr>
          <w:rFonts w:cstheme="minorHAnsi"/>
          <w:color w:val="000000"/>
        </w:rPr>
        <w:t xml:space="preserve">Munck, R. (2016). Globalization, </w:t>
      </w:r>
      <w:r w:rsidR="007263FC">
        <w:rPr>
          <w:rFonts w:cstheme="minorHAnsi"/>
          <w:color w:val="000000"/>
        </w:rPr>
        <w:t>t</w:t>
      </w:r>
      <w:r w:rsidRPr="00BC1B7F">
        <w:rPr>
          <w:rFonts w:cstheme="minorHAnsi"/>
          <w:color w:val="000000"/>
        </w:rPr>
        <w:t xml:space="preserve">rade </w:t>
      </w:r>
      <w:r w:rsidR="007263FC">
        <w:rPr>
          <w:rFonts w:cstheme="minorHAnsi"/>
          <w:color w:val="000000"/>
        </w:rPr>
        <w:t>u</w:t>
      </w:r>
      <w:r w:rsidRPr="00BC1B7F">
        <w:rPr>
          <w:rFonts w:cstheme="minorHAnsi"/>
          <w:color w:val="000000"/>
        </w:rPr>
        <w:t xml:space="preserve">nions, and </w:t>
      </w:r>
      <w:r w:rsidR="007263FC">
        <w:rPr>
          <w:rFonts w:cstheme="minorHAnsi"/>
          <w:color w:val="000000"/>
        </w:rPr>
        <w:t>l</w:t>
      </w:r>
      <w:r w:rsidRPr="00BC1B7F">
        <w:rPr>
          <w:rFonts w:cstheme="minorHAnsi"/>
          <w:color w:val="000000"/>
        </w:rPr>
        <w:t xml:space="preserve">abour </w:t>
      </w:r>
      <w:r w:rsidR="007263FC">
        <w:rPr>
          <w:rFonts w:cstheme="minorHAnsi"/>
          <w:color w:val="000000"/>
        </w:rPr>
        <w:t>m</w:t>
      </w:r>
      <w:r w:rsidRPr="00BC1B7F">
        <w:rPr>
          <w:rFonts w:cstheme="minorHAnsi"/>
          <w:color w:val="000000"/>
        </w:rPr>
        <w:t xml:space="preserve">igration: A </w:t>
      </w:r>
      <w:r w:rsidR="007263FC">
        <w:rPr>
          <w:rFonts w:cstheme="minorHAnsi"/>
          <w:color w:val="000000"/>
        </w:rPr>
        <w:t>tr</w:t>
      </w:r>
      <w:r w:rsidRPr="00BC1B7F">
        <w:rPr>
          <w:rFonts w:cstheme="minorHAnsi"/>
          <w:color w:val="000000"/>
        </w:rPr>
        <w:t xml:space="preserve">ansformationalist </w:t>
      </w:r>
      <w:r w:rsidR="007263FC">
        <w:rPr>
          <w:rFonts w:cstheme="minorHAnsi"/>
          <w:color w:val="000000"/>
        </w:rPr>
        <w:t>a</w:t>
      </w:r>
      <w:r w:rsidRPr="00BC1B7F">
        <w:rPr>
          <w:rFonts w:cstheme="minorHAnsi"/>
          <w:color w:val="000000"/>
        </w:rPr>
        <w:t>pproach</w:t>
      </w:r>
      <w:r w:rsidR="007263FC">
        <w:rPr>
          <w:rFonts w:cstheme="minorHAnsi"/>
          <w:color w:val="000000"/>
        </w:rPr>
        <w:t>. I</w:t>
      </w:r>
      <w:r w:rsidRPr="00BC1B7F">
        <w:rPr>
          <w:rFonts w:cstheme="minorHAnsi"/>
          <w:color w:val="000000"/>
        </w:rPr>
        <w:t xml:space="preserve">n </w:t>
      </w:r>
      <w:r w:rsidR="007263FC" w:rsidRPr="00BC1B7F">
        <w:rPr>
          <w:rFonts w:cstheme="minorHAnsi"/>
          <w:color w:val="000000"/>
        </w:rPr>
        <w:t>C</w:t>
      </w:r>
      <w:r w:rsidR="007263FC">
        <w:rPr>
          <w:rFonts w:cstheme="minorHAnsi"/>
          <w:color w:val="000000"/>
        </w:rPr>
        <w:t xml:space="preserve">. </w:t>
      </w:r>
      <w:r w:rsidR="007263FC" w:rsidRPr="00BC1B7F">
        <w:rPr>
          <w:rFonts w:cstheme="minorHAnsi"/>
          <w:color w:val="000000"/>
        </w:rPr>
        <w:t xml:space="preserve">Schierup, </w:t>
      </w:r>
      <w:r w:rsidR="007263FC">
        <w:rPr>
          <w:rFonts w:cstheme="minorHAnsi"/>
          <w:color w:val="000000"/>
        </w:rPr>
        <w:t>R.</w:t>
      </w:r>
      <w:r w:rsidR="007263FC" w:rsidRPr="00BC1B7F">
        <w:rPr>
          <w:rFonts w:cstheme="minorHAnsi"/>
          <w:color w:val="000000"/>
        </w:rPr>
        <w:t xml:space="preserve"> Munck, </w:t>
      </w:r>
      <w:r w:rsidR="007263FC">
        <w:rPr>
          <w:rFonts w:cstheme="minorHAnsi"/>
          <w:color w:val="000000"/>
        </w:rPr>
        <w:t>B.</w:t>
      </w:r>
      <w:r w:rsidR="007263FC" w:rsidRPr="00BC1B7F">
        <w:rPr>
          <w:rFonts w:cstheme="minorHAnsi"/>
          <w:color w:val="000000"/>
        </w:rPr>
        <w:t xml:space="preserve"> Likic-Brboric, </w:t>
      </w:r>
      <w:r w:rsidR="007263FC">
        <w:rPr>
          <w:rFonts w:cstheme="minorHAnsi"/>
          <w:color w:val="000000"/>
        </w:rPr>
        <w:t>&amp;</w:t>
      </w:r>
      <w:r w:rsidR="007263FC" w:rsidRPr="00BC1B7F">
        <w:rPr>
          <w:rFonts w:cstheme="minorHAnsi"/>
          <w:color w:val="000000"/>
        </w:rPr>
        <w:t xml:space="preserve"> </w:t>
      </w:r>
      <w:r w:rsidR="007263FC">
        <w:rPr>
          <w:rFonts w:cstheme="minorHAnsi"/>
          <w:color w:val="000000"/>
        </w:rPr>
        <w:t>A.</w:t>
      </w:r>
      <w:r w:rsidR="007263FC" w:rsidRPr="00BC1B7F">
        <w:rPr>
          <w:rFonts w:cstheme="minorHAnsi"/>
          <w:color w:val="000000"/>
        </w:rPr>
        <w:t xml:space="preserve"> Neergaard</w:t>
      </w:r>
      <w:r w:rsidR="007263FC">
        <w:rPr>
          <w:rFonts w:cstheme="minorHAnsi"/>
          <w:color w:val="000000"/>
        </w:rPr>
        <w:t xml:space="preserve"> (Eds.), </w:t>
      </w:r>
      <w:r w:rsidRPr="00BC1B7F">
        <w:rPr>
          <w:rFonts w:cstheme="minorHAnsi"/>
          <w:i/>
          <w:iCs/>
          <w:color w:val="000000"/>
        </w:rPr>
        <w:t>Migration, Precarity, and Global Governance: Challenges and Opportunities for Labour</w:t>
      </w:r>
      <w:r>
        <w:rPr>
          <w:rFonts w:cstheme="minorHAnsi"/>
          <w:color w:val="000000"/>
        </w:rPr>
        <w:t xml:space="preserve"> </w:t>
      </w:r>
      <w:r w:rsidR="007263FC">
        <w:rPr>
          <w:rFonts w:cstheme="minorHAnsi"/>
          <w:color w:val="000000"/>
        </w:rPr>
        <w:t>(</w:t>
      </w:r>
      <w:r>
        <w:rPr>
          <w:rFonts w:cstheme="minorHAnsi"/>
          <w:color w:val="000000"/>
        </w:rPr>
        <w:t>pp. 101-120</w:t>
      </w:r>
      <w:r w:rsidR="007263FC">
        <w:rPr>
          <w:rFonts w:cstheme="minorHAnsi"/>
          <w:color w:val="000000"/>
        </w:rPr>
        <w:t>). Oxford University Press</w:t>
      </w:r>
      <w:r>
        <w:rPr>
          <w:rFonts w:cstheme="minorHAnsi"/>
          <w:color w:val="000000"/>
        </w:rPr>
        <w:t>.</w:t>
      </w:r>
    </w:p>
    <w:p w14:paraId="239D39B6" w14:textId="3BDAA9A4" w:rsidR="002F5C54" w:rsidRPr="00A3172F" w:rsidRDefault="009B21A8" w:rsidP="008D02D7">
      <w:pPr>
        <w:numPr>
          <w:ilvl w:val="1"/>
          <w:numId w:val="14"/>
        </w:numPr>
        <w:ind w:left="993"/>
        <w:rPr>
          <w:rFonts w:cstheme="minorHAnsi"/>
          <w:color w:val="000000"/>
        </w:rPr>
      </w:pPr>
      <w:r>
        <w:rPr>
          <w:rFonts w:cstheme="minorHAnsi"/>
          <w:color w:val="000000"/>
        </w:rPr>
        <w:t xml:space="preserve">Dencik, L. </w:t>
      </w:r>
      <w:r w:rsidR="007263FC">
        <w:rPr>
          <w:rFonts w:cstheme="minorHAnsi"/>
          <w:color w:val="000000"/>
        </w:rPr>
        <w:t>&amp;</w:t>
      </w:r>
      <w:r>
        <w:rPr>
          <w:rFonts w:cstheme="minorHAnsi"/>
          <w:color w:val="000000"/>
        </w:rPr>
        <w:t xml:space="preserve"> Wilkin, P. (2020). Digital </w:t>
      </w:r>
      <w:r w:rsidR="007263FC">
        <w:rPr>
          <w:rFonts w:cstheme="minorHAnsi"/>
          <w:color w:val="000000"/>
        </w:rPr>
        <w:t>a</w:t>
      </w:r>
      <w:r>
        <w:rPr>
          <w:rFonts w:cstheme="minorHAnsi"/>
          <w:color w:val="000000"/>
        </w:rPr>
        <w:t xml:space="preserve">ctivism and the </w:t>
      </w:r>
      <w:r w:rsidR="007263FC">
        <w:rPr>
          <w:rFonts w:cstheme="minorHAnsi"/>
          <w:color w:val="000000"/>
        </w:rPr>
        <w:t>p</w:t>
      </w:r>
      <w:r>
        <w:rPr>
          <w:rFonts w:cstheme="minorHAnsi"/>
          <w:color w:val="000000"/>
        </w:rPr>
        <w:t xml:space="preserve">olitical </w:t>
      </w:r>
      <w:r w:rsidR="007263FC">
        <w:rPr>
          <w:rFonts w:cstheme="minorHAnsi"/>
          <w:color w:val="000000"/>
        </w:rPr>
        <w:t>cu</w:t>
      </w:r>
      <w:r>
        <w:rPr>
          <w:rFonts w:cstheme="minorHAnsi"/>
          <w:color w:val="000000"/>
        </w:rPr>
        <w:t xml:space="preserve">lture of </w:t>
      </w:r>
      <w:r w:rsidR="007263FC">
        <w:rPr>
          <w:rFonts w:cstheme="minorHAnsi"/>
          <w:color w:val="000000"/>
        </w:rPr>
        <w:t>t</w:t>
      </w:r>
      <w:r>
        <w:rPr>
          <w:rFonts w:cstheme="minorHAnsi"/>
          <w:color w:val="000000"/>
        </w:rPr>
        <w:t xml:space="preserve">rade </w:t>
      </w:r>
      <w:r w:rsidR="007263FC">
        <w:rPr>
          <w:rFonts w:cstheme="minorHAnsi"/>
          <w:color w:val="000000"/>
        </w:rPr>
        <w:t>u</w:t>
      </w:r>
      <w:r>
        <w:rPr>
          <w:rFonts w:cstheme="minorHAnsi"/>
          <w:color w:val="000000"/>
        </w:rPr>
        <w:t xml:space="preserve">nionism.  </w:t>
      </w:r>
      <w:r w:rsidRPr="009B21A8">
        <w:rPr>
          <w:rFonts w:cstheme="minorHAnsi"/>
          <w:i/>
          <w:iCs/>
          <w:color w:val="000000"/>
        </w:rPr>
        <w:t>Information, Communication &amp; Society</w:t>
      </w:r>
      <w:r>
        <w:rPr>
          <w:rFonts w:cstheme="minorHAnsi"/>
          <w:color w:val="000000"/>
        </w:rPr>
        <w:t xml:space="preserve">, </w:t>
      </w:r>
      <w:r w:rsidRPr="002C1A13">
        <w:rPr>
          <w:rFonts w:cstheme="minorHAnsi"/>
          <w:i/>
          <w:iCs/>
          <w:color w:val="000000"/>
        </w:rPr>
        <w:t>23</w:t>
      </w:r>
      <w:r w:rsidR="002C1A13">
        <w:rPr>
          <w:rFonts w:cstheme="minorHAnsi"/>
          <w:color w:val="000000"/>
        </w:rPr>
        <w:t>(12)</w:t>
      </w:r>
      <w:r>
        <w:rPr>
          <w:rFonts w:cstheme="minorHAnsi"/>
          <w:color w:val="000000"/>
        </w:rPr>
        <w:t>, 1728-1737.</w:t>
      </w:r>
    </w:p>
    <w:p w14:paraId="04A4D3E4" w14:textId="6F1EF264" w:rsidR="00336E32" w:rsidRPr="0007778D" w:rsidRDefault="00336E32" w:rsidP="00A3172F">
      <w:pPr>
        <w:pStyle w:val="Heading5-1C"/>
      </w:pPr>
      <w:r>
        <w:t>February 6/7</w:t>
      </w:r>
      <w:r w:rsidRPr="008D02D7">
        <w:t>:</w:t>
      </w:r>
      <w:r>
        <w:t xml:space="preserve"> Artistic Interventions</w:t>
      </w:r>
    </w:p>
    <w:p w14:paraId="42618634" w14:textId="77777777" w:rsidR="00336E32" w:rsidRPr="008D02D7" w:rsidRDefault="00336E32" w:rsidP="00336E32">
      <w:pPr>
        <w:numPr>
          <w:ilvl w:val="1"/>
          <w:numId w:val="14"/>
        </w:numPr>
        <w:ind w:left="540"/>
        <w:rPr>
          <w:rFonts w:cstheme="minorHAnsi"/>
          <w:b/>
          <w:bCs/>
          <w:color w:val="000000"/>
        </w:rPr>
      </w:pPr>
      <w:r w:rsidRPr="008D02D7">
        <w:rPr>
          <w:rFonts w:cstheme="minorHAnsi"/>
          <w:b/>
          <w:bCs/>
          <w:color w:val="000000"/>
        </w:rPr>
        <w:t xml:space="preserve">Required Readings: </w:t>
      </w:r>
    </w:p>
    <w:p w14:paraId="32665175" w14:textId="77777777" w:rsidR="00336E32" w:rsidRPr="002C1A13" w:rsidRDefault="00336E32" w:rsidP="00336E32">
      <w:pPr>
        <w:numPr>
          <w:ilvl w:val="2"/>
          <w:numId w:val="15"/>
        </w:numPr>
        <w:ind w:left="993"/>
        <w:rPr>
          <w:rFonts w:cstheme="minorHAnsi"/>
        </w:rPr>
      </w:pPr>
      <w:r>
        <w:t xml:space="preserve">Ting, C.C. (2020). Community organizing and media activism. The case of v-artivist in Hong Kong. In C. Robé &amp; S. Charbonneau (eds.), </w:t>
      </w:r>
      <w:r w:rsidRPr="002C1A13">
        <w:rPr>
          <w:i/>
          <w:iCs/>
        </w:rPr>
        <w:t xml:space="preserve">Insurgent Media from the Front </w:t>
      </w:r>
      <w:r>
        <w:t xml:space="preserve">(pp. 235-254). Indiana University Press. </w:t>
      </w:r>
    </w:p>
    <w:p w14:paraId="46F288AA" w14:textId="1E63AD90" w:rsidR="008D02D7" w:rsidRPr="00A3172F" w:rsidRDefault="00336E32" w:rsidP="008D02D7">
      <w:pPr>
        <w:numPr>
          <w:ilvl w:val="2"/>
          <w:numId w:val="15"/>
        </w:numPr>
        <w:ind w:left="993"/>
        <w:rPr>
          <w:rFonts w:cstheme="minorHAnsi"/>
        </w:rPr>
      </w:pPr>
      <w:r>
        <w:rPr>
          <w:rFonts w:cstheme="minorHAnsi"/>
        </w:rPr>
        <w:t xml:space="preserve">Wngz, R. &amp; Ware, S.M. (2020). Black arts and the movement: A conversation. In R. Diverlus, S. Hudson, &amp; S.M. Ware (eds.), </w:t>
      </w:r>
      <w:r>
        <w:rPr>
          <w:rFonts w:cstheme="minorHAnsi"/>
          <w:i/>
          <w:iCs/>
        </w:rPr>
        <w:t xml:space="preserve">Until We Are Free: Reflections on Black Lives Matter Canada </w:t>
      </w:r>
      <w:r>
        <w:rPr>
          <w:rFonts w:cstheme="minorHAnsi"/>
        </w:rPr>
        <w:t>(pp. 133-150). University of Regina Press.</w:t>
      </w:r>
    </w:p>
    <w:p w14:paraId="212E348E" w14:textId="21EE9657" w:rsidR="008D02D7" w:rsidRPr="00A3172F" w:rsidRDefault="00D920F5" w:rsidP="00A3172F">
      <w:pPr>
        <w:pStyle w:val="Heading5-1C"/>
      </w:pPr>
      <w:r w:rsidRPr="00A3172F">
        <w:t xml:space="preserve">February </w:t>
      </w:r>
      <w:r w:rsidR="0007778D" w:rsidRPr="00A3172F">
        <w:t>13</w:t>
      </w:r>
      <w:r w:rsidRPr="00A3172F">
        <w:t>/</w:t>
      </w:r>
      <w:r w:rsidR="0007778D" w:rsidRPr="00A3172F">
        <w:t>14</w:t>
      </w:r>
      <w:r w:rsidR="008D02D7" w:rsidRPr="00A3172F">
        <w:t xml:space="preserve">: </w:t>
      </w:r>
      <w:r w:rsidR="00D53906" w:rsidRPr="00A3172F">
        <w:t>Health Humanitarianism</w:t>
      </w:r>
    </w:p>
    <w:p w14:paraId="04A2FD7D" w14:textId="77777777" w:rsidR="008D02D7" w:rsidRPr="008D02D7" w:rsidRDefault="008D02D7" w:rsidP="008D02D7">
      <w:pPr>
        <w:numPr>
          <w:ilvl w:val="1"/>
          <w:numId w:val="14"/>
        </w:numPr>
        <w:ind w:left="540"/>
        <w:rPr>
          <w:rFonts w:cstheme="minorHAnsi"/>
          <w:b/>
          <w:bCs/>
          <w:color w:val="000000"/>
        </w:rPr>
      </w:pPr>
      <w:r w:rsidRPr="008D02D7">
        <w:rPr>
          <w:rFonts w:cstheme="minorHAnsi"/>
          <w:b/>
          <w:bCs/>
          <w:color w:val="000000"/>
        </w:rPr>
        <w:t xml:space="preserve">Required Readings: </w:t>
      </w:r>
    </w:p>
    <w:p w14:paraId="569108C4" w14:textId="77777777" w:rsidR="00D53906" w:rsidRDefault="00D53906" w:rsidP="00726CFA">
      <w:pPr>
        <w:numPr>
          <w:ilvl w:val="0"/>
          <w:numId w:val="22"/>
        </w:numPr>
        <w:ind w:left="993"/>
      </w:pPr>
      <w:r>
        <w:t xml:space="preserve">Whittall, J. (2016). Treating terrorists. </w:t>
      </w:r>
      <w:r w:rsidRPr="00D75DB9">
        <w:rPr>
          <w:i/>
        </w:rPr>
        <w:t>MSF Analysis</w:t>
      </w:r>
      <w:r>
        <w:rPr>
          <w:i/>
        </w:rPr>
        <w:t>,</w:t>
      </w:r>
      <w:r>
        <w:t xml:space="preserve"> 05/08/2016.</w:t>
      </w:r>
    </w:p>
    <w:p w14:paraId="150A3906" w14:textId="7F8B5FA9" w:rsidR="00D53906" w:rsidRPr="00CA4582" w:rsidRDefault="00D53906" w:rsidP="00726CFA">
      <w:pPr>
        <w:numPr>
          <w:ilvl w:val="0"/>
          <w:numId w:val="22"/>
        </w:numPr>
        <w:ind w:left="993"/>
        <w:rPr>
          <w:rFonts w:cs="Arial"/>
        </w:rPr>
      </w:pPr>
      <w:r w:rsidRPr="000B5434">
        <w:rPr>
          <w:rFonts w:cs="Arial"/>
          <w:color w:val="1A1A1A"/>
        </w:rPr>
        <w:t xml:space="preserve">Fassin, D. (2007). Humanitarianism as a </w:t>
      </w:r>
      <w:r w:rsidR="00AE1762">
        <w:rPr>
          <w:rFonts w:cs="Arial"/>
          <w:color w:val="1A1A1A"/>
        </w:rPr>
        <w:t>p</w:t>
      </w:r>
      <w:r w:rsidRPr="000B5434">
        <w:rPr>
          <w:rFonts w:cs="Arial"/>
          <w:color w:val="1A1A1A"/>
        </w:rPr>
        <w:t xml:space="preserve">olitics of </w:t>
      </w:r>
      <w:r w:rsidR="00AE1762">
        <w:rPr>
          <w:rFonts w:cs="Arial"/>
          <w:color w:val="1A1A1A"/>
        </w:rPr>
        <w:t>l</w:t>
      </w:r>
      <w:r w:rsidRPr="000B5434">
        <w:rPr>
          <w:rFonts w:cs="Arial"/>
          <w:color w:val="1A1A1A"/>
        </w:rPr>
        <w:t>ife. </w:t>
      </w:r>
      <w:r w:rsidRPr="000B5434">
        <w:rPr>
          <w:rFonts w:cs="Arial"/>
          <w:i/>
          <w:iCs/>
          <w:color w:val="1A1A1A"/>
        </w:rPr>
        <w:t>Public Culture</w:t>
      </w:r>
      <w:r w:rsidRPr="000B5434">
        <w:rPr>
          <w:rFonts w:cs="Arial"/>
          <w:color w:val="1A1A1A"/>
        </w:rPr>
        <w:t>, </w:t>
      </w:r>
      <w:r w:rsidRPr="000B5434">
        <w:rPr>
          <w:rFonts w:cs="Arial"/>
          <w:i/>
          <w:iCs/>
          <w:color w:val="1A1A1A"/>
        </w:rPr>
        <w:t>19</w:t>
      </w:r>
      <w:r w:rsidRPr="000B5434">
        <w:rPr>
          <w:rFonts w:cs="Arial"/>
          <w:color w:val="1A1A1A"/>
        </w:rPr>
        <w:t>(3), 499-520.</w:t>
      </w:r>
    </w:p>
    <w:p w14:paraId="0B428C9D" w14:textId="55F8FB1B" w:rsidR="008D02D7" w:rsidRPr="00A3172F" w:rsidRDefault="00AD28C8" w:rsidP="00A3172F">
      <w:pPr>
        <w:pStyle w:val="ListParagraph"/>
        <w:ind w:left="5387"/>
        <w:rPr>
          <w:b/>
          <w:i/>
        </w:rPr>
      </w:pPr>
      <w:r w:rsidRPr="00765464">
        <w:rPr>
          <w:b/>
          <w:i/>
        </w:rPr>
        <w:t xml:space="preserve">Capstone Proposals </w:t>
      </w:r>
      <w:r w:rsidRPr="00CA4582">
        <w:rPr>
          <w:b/>
          <w:i/>
        </w:rPr>
        <w:t xml:space="preserve">due on </w:t>
      </w:r>
      <w:r>
        <w:rPr>
          <w:b/>
          <w:i/>
        </w:rPr>
        <w:t>February 13</w:t>
      </w:r>
    </w:p>
    <w:p w14:paraId="476B34F1" w14:textId="261CD0A2" w:rsidR="00336E32" w:rsidRPr="008D02D7" w:rsidRDefault="00336E32" w:rsidP="00A3172F">
      <w:pPr>
        <w:pStyle w:val="Heading5-1C"/>
      </w:pPr>
      <w:r>
        <w:rPr>
          <w:bCs/>
          <w:color w:val="000000"/>
        </w:rPr>
        <w:t>February 2</w:t>
      </w:r>
      <w:r w:rsidR="000264D4">
        <w:rPr>
          <w:bCs/>
          <w:color w:val="000000"/>
        </w:rPr>
        <w:t>7</w:t>
      </w:r>
      <w:r>
        <w:rPr>
          <w:bCs/>
          <w:color w:val="000000"/>
        </w:rPr>
        <w:t>/2</w:t>
      </w:r>
      <w:r w:rsidR="000264D4">
        <w:rPr>
          <w:bCs/>
          <w:color w:val="000000"/>
        </w:rPr>
        <w:t>8</w:t>
      </w:r>
      <w:r w:rsidRPr="008D02D7">
        <w:rPr>
          <w:bCs/>
          <w:color w:val="000000"/>
        </w:rPr>
        <w:t xml:space="preserve">: </w:t>
      </w:r>
      <w:r>
        <w:t>Transformative Justice</w:t>
      </w:r>
    </w:p>
    <w:p w14:paraId="76DAD072" w14:textId="77777777" w:rsidR="00336E32" w:rsidRPr="008D02D7" w:rsidRDefault="00336E32" w:rsidP="00336E32">
      <w:pPr>
        <w:numPr>
          <w:ilvl w:val="1"/>
          <w:numId w:val="14"/>
        </w:numPr>
        <w:ind w:left="540"/>
        <w:rPr>
          <w:rFonts w:cstheme="minorHAnsi"/>
          <w:b/>
          <w:bCs/>
          <w:color w:val="000000"/>
        </w:rPr>
      </w:pPr>
      <w:r w:rsidRPr="008D02D7">
        <w:rPr>
          <w:rFonts w:cstheme="minorHAnsi"/>
          <w:b/>
          <w:bCs/>
          <w:color w:val="000000"/>
        </w:rPr>
        <w:t xml:space="preserve">Required Readings: </w:t>
      </w:r>
    </w:p>
    <w:p w14:paraId="437BAFE2" w14:textId="77777777" w:rsidR="00336E32" w:rsidRPr="00DC0060" w:rsidRDefault="00336E32" w:rsidP="00336E32">
      <w:pPr>
        <w:numPr>
          <w:ilvl w:val="0"/>
          <w:numId w:val="21"/>
        </w:numPr>
        <w:ind w:left="993"/>
        <w:rPr>
          <w:rFonts w:cs="Arial"/>
        </w:rPr>
      </w:pPr>
      <w:r>
        <w:t xml:space="preserve">Dixon, E. (2020). Building community safety. Practical steps toward liberatory transformation. In L.L. Piepzna-Samarasinha &amp; E. Dixon (eds.), </w:t>
      </w:r>
      <w:r>
        <w:rPr>
          <w:i/>
          <w:iCs/>
        </w:rPr>
        <w:t xml:space="preserve">Beyond Survival: Strategies and Stories from the Transformative Justice Movement </w:t>
      </w:r>
      <w:r>
        <w:t>(pp. 11-17). AK Press.</w:t>
      </w:r>
    </w:p>
    <w:p w14:paraId="4554207B" w14:textId="466517B1" w:rsidR="008D02D7" w:rsidRPr="00A3172F" w:rsidRDefault="00336E32" w:rsidP="008D02D7">
      <w:pPr>
        <w:numPr>
          <w:ilvl w:val="0"/>
          <w:numId w:val="21"/>
        </w:numPr>
        <w:ind w:left="993"/>
        <w:rPr>
          <w:rFonts w:cs="Arial"/>
        </w:rPr>
      </w:pPr>
      <w:r>
        <w:rPr>
          <w:rFonts w:cs="Arial"/>
        </w:rPr>
        <w:t>Kim, M.E. (</w:t>
      </w:r>
      <w:r w:rsidR="002D568D">
        <w:rPr>
          <w:rFonts w:cs="Arial"/>
        </w:rPr>
        <w:t>2021</w:t>
      </w:r>
      <w:r>
        <w:rPr>
          <w:rFonts w:cs="Arial"/>
        </w:rPr>
        <w:t xml:space="preserve">). </w:t>
      </w:r>
      <w:r w:rsidR="00B47DDB">
        <w:rPr>
          <w:rFonts w:cs="Arial"/>
        </w:rPr>
        <w:t>Transformative justice and restorative justice: Gender-bas</w:t>
      </w:r>
      <w:r w:rsidR="00AD28C8">
        <w:rPr>
          <w:rFonts w:cs="Arial"/>
        </w:rPr>
        <w:t>e</w:t>
      </w:r>
      <w:r w:rsidR="00B47DDB">
        <w:rPr>
          <w:rFonts w:cs="Arial"/>
        </w:rPr>
        <w:t>d violence and alternative visions of justice in the United States</w:t>
      </w:r>
      <w:r>
        <w:rPr>
          <w:rFonts w:cs="Arial"/>
        </w:rPr>
        <w:t xml:space="preserve">. </w:t>
      </w:r>
      <w:r w:rsidR="00B47DDB">
        <w:rPr>
          <w:rFonts w:cs="Arial"/>
          <w:i/>
          <w:iCs/>
        </w:rPr>
        <w:t>International Review of Victimology</w:t>
      </w:r>
      <w:r>
        <w:rPr>
          <w:rFonts w:cs="Arial"/>
        </w:rPr>
        <w:t xml:space="preserve">, </w:t>
      </w:r>
      <w:r w:rsidRPr="00B47DDB">
        <w:rPr>
          <w:rFonts w:cs="Arial"/>
          <w:i/>
          <w:iCs/>
        </w:rPr>
        <w:t>27</w:t>
      </w:r>
      <w:r>
        <w:rPr>
          <w:rFonts w:cs="Arial"/>
        </w:rPr>
        <w:t>(</w:t>
      </w:r>
      <w:r w:rsidR="00B47DDB">
        <w:rPr>
          <w:rFonts w:cs="Arial"/>
        </w:rPr>
        <w:t>2</w:t>
      </w:r>
      <w:r>
        <w:rPr>
          <w:rFonts w:cs="Arial"/>
        </w:rPr>
        <w:t xml:space="preserve">), </w:t>
      </w:r>
      <w:r w:rsidR="00B47DDB">
        <w:rPr>
          <w:rFonts w:cs="Arial"/>
        </w:rPr>
        <w:t>162-172</w:t>
      </w:r>
    </w:p>
    <w:p w14:paraId="078480C3" w14:textId="7379E24C" w:rsidR="00187F38" w:rsidRDefault="0007778D" w:rsidP="00A3172F">
      <w:pPr>
        <w:pStyle w:val="Heading5-1C"/>
      </w:pPr>
      <w:r>
        <w:lastRenderedPageBreak/>
        <w:t>March 6/7</w:t>
      </w:r>
      <w:r w:rsidR="008D02D7" w:rsidRPr="008D02D7">
        <w:t xml:space="preserve">: </w:t>
      </w:r>
      <w:r w:rsidR="00187F38" w:rsidRPr="00187F38">
        <w:t xml:space="preserve">Tolerance, Intolerance, and Free Speech </w:t>
      </w:r>
    </w:p>
    <w:p w14:paraId="12C45696" w14:textId="12ACBABC" w:rsidR="008D02D7" w:rsidRPr="00187F38" w:rsidRDefault="008D02D7" w:rsidP="00187F38">
      <w:pPr>
        <w:pStyle w:val="ListParagraph"/>
        <w:numPr>
          <w:ilvl w:val="0"/>
          <w:numId w:val="14"/>
        </w:numPr>
        <w:tabs>
          <w:tab w:val="left" w:pos="1395"/>
        </w:tabs>
        <w:rPr>
          <w:rFonts w:cstheme="minorHAnsi"/>
          <w:b/>
          <w:bCs/>
          <w:color w:val="000000"/>
        </w:rPr>
      </w:pPr>
      <w:r w:rsidRPr="00187F38">
        <w:rPr>
          <w:rFonts w:cstheme="minorHAnsi"/>
          <w:b/>
          <w:bCs/>
          <w:color w:val="000000"/>
        </w:rPr>
        <w:t xml:space="preserve">Required Readings: </w:t>
      </w:r>
    </w:p>
    <w:p w14:paraId="685506CB" w14:textId="3D04D8BD" w:rsidR="008D02D7" w:rsidRPr="00A3172F" w:rsidRDefault="00187F38" w:rsidP="008D02D7">
      <w:pPr>
        <w:numPr>
          <w:ilvl w:val="2"/>
          <w:numId w:val="15"/>
        </w:numPr>
        <w:ind w:left="993"/>
        <w:rPr>
          <w:rFonts w:cstheme="minorHAnsi"/>
        </w:rPr>
      </w:pPr>
      <w:r>
        <w:rPr>
          <w:rFonts w:cstheme="minorHAnsi"/>
          <w:color w:val="1A1A1A"/>
        </w:rPr>
        <w:t>Voltaire</w:t>
      </w:r>
      <w:r w:rsidR="00001298">
        <w:rPr>
          <w:rFonts w:cstheme="minorHAnsi"/>
          <w:color w:val="1A1A1A"/>
        </w:rPr>
        <w:t xml:space="preserve"> (1763). </w:t>
      </w:r>
      <w:hyperlink r:id="rId14" w:history="1">
        <w:r w:rsidRPr="00001298">
          <w:rPr>
            <w:rStyle w:val="Hyperlink"/>
            <w:rFonts w:cstheme="minorHAnsi"/>
            <w:i/>
            <w:iCs/>
          </w:rPr>
          <w:t>Treatise on Tolerance</w:t>
        </w:r>
      </w:hyperlink>
      <w:r w:rsidR="00ED3D42">
        <w:rPr>
          <w:rFonts w:cstheme="minorHAnsi"/>
          <w:i/>
          <w:iCs/>
          <w:color w:val="1A1A1A"/>
        </w:rPr>
        <w:t>.</w:t>
      </w:r>
    </w:p>
    <w:p w14:paraId="7E7095DB" w14:textId="640D44C4" w:rsidR="00336E32" w:rsidRPr="008D02D7" w:rsidRDefault="00336E32" w:rsidP="00A3172F">
      <w:pPr>
        <w:pStyle w:val="Heading5-1C"/>
      </w:pPr>
      <w:r>
        <w:rPr>
          <w:bCs/>
          <w:color w:val="000000"/>
        </w:rPr>
        <w:t>March 13/14</w:t>
      </w:r>
      <w:r w:rsidRPr="008D02D7">
        <w:rPr>
          <w:bCs/>
          <w:color w:val="000000"/>
        </w:rPr>
        <w:t xml:space="preserve">: </w:t>
      </w:r>
      <w:r>
        <w:t>Decolonization and Reconciliation</w:t>
      </w:r>
    </w:p>
    <w:p w14:paraId="4031F72F" w14:textId="77777777" w:rsidR="00336E32" w:rsidRPr="008D02D7" w:rsidRDefault="00336E32" w:rsidP="00336E32">
      <w:pPr>
        <w:numPr>
          <w:ilvl w:val="1"/>
          <w:numId w:val="14"/>
        </w:numPr>
        <w:ind w:left="540"/>
        <w:rPr>
          <w:rFonts w:cstheme="minorHAnsi"/>
          <w:b/>
          <w:bCs/>
          <w:color w:val="000000"/>
        </w:rPr>
      </w:pPr>
      <w:r w:rsidRPr="008D02D7">
        <w:rPr>
          <w:rFonts w:cstheme="minorHAnsi"/>
          <w:b/>
          <w:bCs/>
          <w:color w:val="000000"/>
        </w:rPr>
        <w:t xml:space="preserve">Required Readings: </w:t>
      </w:r>
    </w:p>
    <w:p w14:paraId="57E48D08" w14:textId="77777777" w:rsidR="00336E32" w:rsidRPr="00026933" w:rsidRDefault="00336E32" w:rsidP="00336E32">
      <w:pPr>
        <w:numPr>
          <w:ilvl w:val="2"/>
          <w:numId w:val="15"/>
        </w:numPr>
        <w:ind w:left="993"/>
        <w:rPr>
          <w:rFonts w:cstheme="minorHAnsi"/>
        </w:rPr>
      </w:pPr>
      <w:r>
        <w:rPr>
          <w:rFonts w:cstheme="minorHAnsi"/>
          <w:color w:val="1A1A1A"/>
        </w:rPr>
        <w:t xml:space="preserve">Truth and Reconciliation Commission of Canada (2015). </w:t>
      </w:r>
      <w:hyperlink r:id="rId15" w:history="1">
        <w:r w:rsidRPr="007263FC">
          <w:rPr>
            <w:rStyle w:val="Hyperlink"/>
            <w:rFonts w:cstheme="minorHAnsi"/>
          </w:rPr>
          <w:t>Calls to Action</w:t>
        </w:r>
      </w:hyperlink>
      <w:r>
        <w:rPr>
          <w:rFonts w:cstheme="minorHAnsi"/>
          <w:color w:val="1A1A1A"/>
        </w:rPr>
        <w:t xml:space="preserve">. </w:t>
      </w:r>
    </w:p>
    <w:p w14:paraId="76034644" w14:textId="77777777" w:rsidR="00336E32" w:rsidRPr="00126555" w:rsidRDefault="00336E32" w:rsidP="00336E32">
      <w:pPr>
        <w:numPr>
          <w:ilvl w:val="2"/>
          <w:numId w:val="15"/>
        </w:numPr>
        <w:ind w:left="993"/>
        <w:rPr>
          <w:rFonts w:cstheme="minorHAnsi"/>
        </w:rPr>
      </w:pPr>
      <w:r>
        <w:rPr>
          <w:rFonts w:cstheme="minorHAnsi"/>
          <w:color w:val="1A1A1A"/>
        </w:rPr>
        <w:t xml:space="preserve">Tuck, E. &amp; Yang, K.W. (2012). Decolonization is not a metaphor. </w:t>
      </w:r>
      <w:r>
        <w:rPr>
          <w:rFonts w:cstheme="minorHAnsi"/>
          <w:i/>
          <w:iCs/>
          <w:color w:val="1A1A1A"/>
        </w:rPr>
        <w:t>Decolonization: Indigeneity, Education &amp; Society, 1</w:t>
      </w:r>
      <w:r>
        <w:rPr>
          <w:rFonts w:cstheme="minorHAnsi"/>
          <w:color w:val="1A1A1A"/>
        </w:rPr>
        <w:t>(1), 1-40.</w:t>
      </w:r>
    </w:p>
    <w:p w14:paraId="059CBB47" w14:textId="2B4F1FB1" w:rsidR="008D02D7" w:rsidRPr="00A3172F" w:rsidRDefault="00336E32" w:rsidP="008D02D7">
      <w:pPr>
        <w:numPr>
          <w:ilvl w:val="2"/>
          <w:numId w:val="15"/>
        </w:numPr>
        <w:ind w:left="993"/>
        <w:rPr>
          <w:rFonts w:cstheme="minorHAnsi"/>
        </w:rPr>
      </w:pPr>
      <w:r>
        <w:rPr>
          <w:rFonts w:cstheme="minorHAnsi"/>
          <w:color w:val="1A1A1A"/>
        </w:rPr>
        <w:t xml:space="preserve">Belcourt, B. (2016). </w:t>
      </w:r>
      <w:hyperlink r:id="rId16" w:history="1">
        <w:r w:rsidRPr="007263FC">
          <w:rPr>
            <w:rStyle w:val="Hyperlink"/>
            <w:rFonts w:cstheme="minorHAnsi"/>
          </w:rPr>
          <w:t>Political depression in a time of reconciliation</w:t>
        </w:r>
      </w:hyperlink>
      <w:r>
        <w:rPr>
          <w:rFonts w:cstheme="minorHAnsi"/>
          <w:color w:val="1A1A1A"/>
        </w:rPr>
        <w:t xml:space="preserve">. </w:t>
      </w:r>
    </w:p>
    <w:p w14:paraId="5B9A2D3E" w14:textId="39CF5C55" w:rsidR="008D02D7" w:rsidRPr="008D02D7" w:rsidRDefault="00D920F5" w:rsidP="00A3172F">
      <w:pPr>
        <w:pStyle w:val="Heading5-1C"/>
      </w:pPr>
      <w:r>
        <w:t xml:space="preserve">March </w:t>
      </w:r>
      <w:r w:rsidR="0007778D">
        <w:t>20/21</w:t>
      </w:r>
      <w:r w:rsidR="008D02D7" w:rsidRPr="008D02D7">
        <w:t xml:space="preserve">: </w:t>
      </w:r>
      <w:r w:rsidR="00187F38" w:rsidRPr="00187F38">
        <w:t>Environmentalism and Democracy</w:t>
      </w:r>
    </w:p>
    <w:p w14:paraId="44C67D4A" w14:textId="77777777" w:rsidR="008D02D7" w:rsidRPr="008D02D7" w:rsidRDefault="008D02D7" w:rsidP="008D02D7">
      <w:pPr>
        <w:numPr>
          <w:ilvl w:val="1"/>
          <w:numId w:val="14"/>
        </w:numPr>
        <w:ind w:left="540"/>
        <w:rPr>
          <w:rFonts w:cstheme="minorHAnsi"/>
          <w:b/>
          <w:bCs/>
          <w:color w:val="000000"/>
        </w:rPr>
      </w:pPr>
      <w:r w:rsidRPr="008D02D7">
        <w:rPr>
          <w:rFonts w:cstheme="minorHAnsi"/>
          <w:b/>
          <w:bCs/>
          <w:color w:val="000000"/>
        </w:rPr>
        <w:t xml:space="preserve">Required Readings: </w:t>
      </w:r>
    </w:p>
    <w:p w14:paraId="0DC14A97" w14:textId="77777777" w:rsidR="008D02D7" w:rsidRPr="008D02D7" w:rsidRDefault="008D02D7" w:rsidP="00726CFA">
      <w:pPr>
        <w:numPr>
          <w:ilvl w:val="2"/>
          <w:numId w:val="15"/>
        </w:numPr>
        <w:ind w:left="993"/>
        <w:rPr>
          <w:rFonts w:cstheme="minorHAnsi"/>
        </w:rPr>
      </w:pPr>
      <w:r w:rsidRPr="008D02D7">
        <w:rPr>
          <w:rFonts w:cstheme="minorHAnsi"/>
          <w:color w:val="1A1A1A"/>
        </w:rPr>
        <w:t>Kopnina, H. (2012). The Lorax Complex: Deep ecology, ecocentrism and exclusion. </w:t>
      </w:r>
      <w:r w:rsidRPr="008D02D7">
        <w:rPr>
          <w:rFonts w:cstheme="minorHAnsi"/>
          <w:i/>
          <w:iCs/>
          <w:color w:val="1A1A1A"/>
        </w:rPr>
        <w:t>Journal of Integrative Environmental Sciences</w:t>
      </w:r>
      <w:r w:rsidRPr="008D02D7">
        <w:rPr>
          <w:rFonts w:cstheme="minorHAnsi"/>
          <w:color w:val="1A1A1A"/>
        </w:rPr>
        <w:t>, </w:t>
      </w:r>
      <w:r w:rsidRPr="008D02D7">
        <w:rPr>
          <w:rFonts w:cstheme="minorHAnsi"/>
          <w:i/>
          <w:iCs/>
          <w:color w:val="1A1A1A"/>
        </w:rPr>
        <w:t>9</w:t>
      </w:r>
      <w:r w:rsidRPr="008D02D7">
        <w:rPr>
          <w:rFonts w:cstheme="minorHAnsi"/>
          <w:color w:val="1A1A1A"/>
        </w:rPr>
        <w:t>(4), 235-254.</w:t>
      </w:r>
    </w:p>
    <w:p w14:paraId="06E01AAF" w14:textId="0BCA508B" w:rsidR="008D02D7" w:rsidRPr="00A3172F" w:rsidRDefault="008D02D7" w:rsidP="008D02D7">
      <w:pPr>
        <w:numPr>
          <w:ilvl w:val="2"/>
          <w:numId w:val="15"/>
        </w:numPr>
        <w:ind w:left="993"/>
        <w:rPr>
          <w:rFonts w:cstheme="minorHAnsi"/>
        </w:rPr>
      </w:pPr>
      <w:r w:rsidRPr="00570237">
        <w:rPr>
          <w:rFonts w:cstheme="minorHAnsi"/>
        </w:rPr>
        <w:t xml:space="preserve">Klein, N. (2015). Don’t look away now, the climate crisis needs you. </w:t>
      </w:r>
      <w:r w:rsidRPr="00570237">
        <w:rPr>
          <w:rFonts w:cstheme="minorHAnsi"/>
          <w:i/>
        </w:rPr>
        <w:t>The Guardian,</w:t>
      </w:r>
      <w:r w:rsidRPr="00570237">
        <w:rPr>
          <w:rFonts w:cstheme="minorHAnsi"/>
        </w:rPr>
        <w:t xml:space="preserve"> 06/03/2015.</w:t>
      </w:r>
    </w:p>
    <w:p w14:paraId="6DC262B3" w14:textId="6661BFE7" w:rsidR="00D920F5" w:rsidRPr="008D02D7" w:rsidRDefault="00D920F5" w:rsidP="00A3172F">
      <w:pPr>
        <w:pStyle w:val="Heading5-1C"/>
      </w:pPr>
      <w:r>
        <w:rPr>
          <w:bCs/>
          <w:color w:val="000000"/>
        </w:rPr>
        <w:t>March 27/28</w:t>
      </w:r>
      <w:r w:rsidRPr="008D02D7">
        <w:rPr>
          <w:bCs/>
          <w:color w:val="000000"/>
        </w:rPr>
        <w:t xml:space="preserve">: </w:t>
      </w:r>
      <w:r w:rsidR="007830AE">
        <w:t>Guest Lecture: Science and Global Challenges</w:t>
      </w:r>
      <w:r w:rsidR="00001298">
        <w:t>. Dr. Juliet Daniel, Professor of Biology and Associate Dean (Research), Faculty of Science</w:t>
      </w:r>
    </w:p>
    <w:p w14:paraId="555155C7" w14:textId="77777777" w:rsidR="00D920F5" w:rsidRPr="008D02D7" w:rsidRDefault="00D920F5" w:rsidP="00D920F5">
      <w:pPr>
        <w:numPr>
          <w:ilvl w:val="1"/>
          <w:numId w:val="14"/>
        </w:numPr>
        <w:ind w:left="540"/>
        <w:rPr>
          <w:rFonts w:cstheme="minorHAnsi"/>
          <w:b/>
          <w:bCs/>
          <w:color w:val="000000"/>
        </w:rPr>
      </w:pPr>
      <w:r w:rsidRPr="008D02D7">
        <w:rPr>
          <w:rFonts w:cstheme="minorHAnsi"/>
          <w:b/>
          <w:bCs/>
          <w:color w:val="000000"/>
        </w:rPr>
        <w:t xml:space="preserve">Required Readings: </w:t>
      </w:r>
    </w:p>
    <w:p w14:paraId="2C548ABC" w14:textId="781F499B" w:rsidR="00D920F5" w:rsidRPr="00683FD2" w:rsidRDefault="00683FD2" w:rsidP="00726CFA">
      <w:pPr>
        <w:numPr>
          <w:ilvl w:val="2"/>
          <w:numId w:val="15"/>
        </w:numPr>
        <w:ind w:left="993"/>
        <w:rPr>
          <w:rFonts w:cstheme="minorHAnsi"/>
        </w:rPr>
      </w:pPr>
      <w:r w:rsidRPr="00683FD2">
        <w:rPr>
          <w:rFonts w:cstheme="minorHAnsi"/>
          <w:color w:val="1A1A1A"/>
        </w:rPr>
        <w:t>To be announced</w:t>
      </w:r>
      <w:r w:rsidR="000C3E62">
        <w:rPr>
          <w:rFonts w:cstheme="minorHAnsi"/>
          <w:color w:val="1A1A1A"/>
        </w:rPr>
        <w:t>.</w:t>
      </w:r>
    </w:p>
    <w:p w14:paraId="37CC44B5" w14:textId="47DACD37" w:rsidR="008E6F29" w:rsidRDefault="008E6F29" w:rsidP="008E6F29">
      <w:pPr>
        <w:pStyle w:val="ListParagraph"/>
        <w:ind w:left="3119" w:firstLine="3118"/>
        <w:jc w:val="right"/>
        <w:rPr>
          <w:b/>
          <w:i/>
        </w:rPr>
      </w:pPr>
      <w:r w:rsidRPr="00CA4582">
        <w:rPr>
          <w:b/>
          <w:i/>
        </w:rPr>
        <w:t xml:space="preserve">Capstone </w:t>
      </w:r>
      <w:r>
        <w:rPr>
          <w:b/>
          <w:i/>
        </w:rPr>
        <w:t>Poster</w:t>
      </w:r>
      <w:r w:rsidRPr="00CA4582">
        <w:rPr>
          <w:b/>
          <w:i/>
        </w:rPr>
        <w:t xml:space="preserve"> due on </w:t>
      </w:r>
      <w:r>
        <w:rPr>
          <w:b/>
          <w:i/>
        </w:rPr>
        <w:t>April 2</w:t>
      </w:r>
    </w:p>
    <w:p w14:paraId="35A8F560" w14:textId="20E9AE02" w:rsidR="000C3E62" w:rsidRPr="00A3172F" w:rsidRDefault="00D920F5" w:rsidP="00A3172F">
      <w:pPr>
        <w:pStyle w:val="Heading5-1C"/>
      </w:pPr>
      <w:r>
        <w:rPr>
          <w:bCs/>
          <w:color w:val="000000"/>
        </w:rPr>
        <w:t>April 3/4</w:t>
      </w:r>
      <w:r w:rsidRPr="008D02D7">
        <w:rPr>
          <w:bCs/>
          <w:color w:val="000000"/>
        </w:rPr>
        <w:t xml:space="preserve">: </w:t>
      </w:r>
      <w:r w:rsidR="007830AE">
        <w:t>Poster Session 1</w:t>
      </w:r>
    </w:p>
    <w:p w14:paraId="4970F518" w14:textId="6357AD87" w:rsidR="00DD47F0" w:rsidRPr="008D02D7" w:rsidRDefault="00DD47F0" w:rsidP="00A3172F">
      <w:pPr>
        <w:pStyle w:val="Heading5-1C"/>
      </w:pPr>
      <w:r>
        <w:rPr>
          <w:bCs/>
          <w:color w:val="000000"/>
        </w:rPr>
        <w:t>April 10/11:</w:t>
      </w:r>
      <w:r w:rsidRPr="008D02D7">
        <w:rPr>
          <w:bCs/>
          <w:color w:val="000000"/>
        </w:rPr>
        <w:t xml:space="preserve"> </w:t>
      </w:r>
      <w:r w:rsidR="007830AE">
        <w:t>Poster Session 2</w:t>
      </w:r>
    </w:p>
    <w:p w14:paraId="3C73ACBE" w14:textId="5DF572FF" w:rsidR="000C3E62" w:rsidRPr="00A3172F" w:rsidRDefault="008E6F29" w:rsidP="00A3172F">
      <w:pPr>
        <w:pStyle w:val="ListParagraph"/>
        <w:ind w:left="2127" w:firstLine="720"/>
        <w:jc w:val="right"/>
        <w:rPr>
          <w:b/>
          <w:i/>
        </w:rPr>
      </w:pPr>
      <w:r>
        <w:rPr>
          <w:b/>
          <w:i/>
        </w:rPr>
        <w:t xml:space="preserve">Poster Response due on April 12; </w:t>
      </w:r>
      <w:r w:rsidRPr="00CA4582">
        <w:rPr>
          <w:b/>
          <w:i/>
        </w:rPr>
        <w:t xml:space="preserve">Capstone Essays due on </w:t>
      </w:r>
      <w:r>
        <w:rPr>
          <w:b/>
          <w:i/>
        </w:rPr>
        <w:t>April 15</w:t>
      </w:r>
    </w:p>
    <w:p w14:paraId="372A8D34" w14:textId="77777777" w:rsidR="000E7149" w:rsidRPr="000B5434" w:rsidRDefault="000E7149" w:rsidP="00A3172F">
      <w:pPr>
        <w:pStyle w:val="Heading4-1C"/>
      </w:pPr>
      <w:r w:rsidRPr="000B5434">
        <w:t>Assignment Deadlines &amp; Missed/Late Work:</w:t>
      </w:r>
    </w:p>
    <w:p w14:paraId="7677E61E" w14:textId="0012C00C" w:rsidR="000E7149" w:rsidRDefault="000E7149" w:rsidP="000C3E62">
      <w:r w:rsidRPr="006B178F">
        <w:t xml:space="preserve">Students are expected to hand in all assignments on the specified due dates. Late submissions will be subject to a penalty of 3% per day (including weekend days). Assignments submitted after </w:t>
      </w:r>
      <w:r>
        <w:t>11:59pm</w:t>
      </w:r>
      <w:r w:rsidRPr="006B178F">
        <w:t xml:space="preserve"> on the due date will be counted as one day late. No assignments will </w:t>
      </w:r>
      <w:r>
        <w:t xml:space="preserve">be accepted after </w:t>
      </w:r>
      <w:r w:rsidR="00AF481C">
        <w:t>April 19, 2023</w:t>
      </w:r>
      <w:r w:rsidRPr="006B178F">
        <w:t>. Given that</w:t>
      </w:r>
      <w:r>
        <w:t xml:space="preserve"> some</w:t>
      </w:r>
      <w:r w:rsidRPr="006B178F">
        <w:t xml:space="preserve"> course assignments require electronic submission, you should familiarize yourself with the Avenue to Learn dropbox in advance of the deadlines and ask for assistance as necessary. Problems with electronic submission WILL NOT be accepted as an excuse for lateness. </w:t>
      </w:r>
    </w:p>
    <w:p w14:paraId="70C4121E" w14:textId="77777777" w:rsidR="000E7149" w:rsidRPr="000B5434" w:rsidRDefault="000E7149" w:rsidP="00A3172F">
      <w:pPr>
        <w:pStyle w:val="Heading4-1C"/>
      </w:pPr>
      <w:r w:rsidRPr="000B5434">
        <w:t xml:space="preserve">Sustainable Written Work Submission Guidelines </w:t>
      </w:r>
    </w:p>
    <w:p w14:paraId="2CF8079B" w14:textId="51296751" w:rsidR="000E7149" w:rsidRDefault="000E7149" w:rsidP="000E7149">
      <w:r w:rsidRPr="0083676F">
        <w:t>All written work should be submitted in the following format: double-sided pages, reduced line spacing (1.5 lines),</w:t>
      </w:r>
      <w:r w:rsidRPr="006B178F">
        <w:t xml:space="preserve"> exclusion of title page, sans-serif font. </w:t>
      </w:r>
      <w:r>
        <w:t>Some</w:t>
      </w:r>
      <w:r w:rsidRPr="006B178F">
        <w:t xml:space="preserve"> work will also be submitted and returned online. </w:t>
      </w:r>
    </w:p>
    <w:p w14:paraId="72347E58" w14:textId="62DFDEF1" w:rsidR="000E7149" w:rsidRDefault="000E7149" w:rsidP="000E7149"/>
    <w:p w14:paraId="32F16A38" w14:textId="77777777" w:rsidR="000E7149" w:rsidRPr="000E7149" w:rsidRDefault="000E7149" w:rsidP="000E7149">
      <w:pPr>
        <w:pStyle w:val="Heading2"/>
      </w:pPr>
      <w:r w:rsidRPr="000E7149">
        <w:lastRenderedPageBreak/>
        <w:t>SENATE-APPROVED ADVISORY STATEMENTS</w:t>
      </w:r>
    </w:p>
    <w:p w14:paraId="44E263D1" w14:textId="73D11CCE" w:rsidR="001F43DA" w:rsidRPr="004A6B32" w:rsidRDefault="001F43DA" w:rsidP="00A3172F">
      <w:pPr>
        <w:pStyle w:val="Heading4-1C"/>
      </w:pPr>
      <w:r w:rsidRPr="00B70EDA">
        <w:t>ACADEMIC INTEGRITY</w:t>
      </w:r>
    </w:p>
    <w:p w14:paraId="61905570" w14:textId="77777777" w:rsidR="004A6B32" w:rsidRPr="00B70EDA" w:rsidRDefault="004A6B32" w:rsidP="004A6B32">
      <w:pPr>
        <w:rPr>
          <w:rFonts w:cstheme="minorHAnsi"/>
        </w:rPr>
      </w:pPr>
      <w:r w:rsidRPr="00B70EDA">
        <w:rPr>
          <w:rFonts w:cstheme="minorHAnsi"/>
        </w:rPr>
        <w:t xml:space="preserve">You are expected to exhibit honesty and use ethical behaviour in all aspects of the learning process. Academic credentials you earn are rooted in principles of honesty and academic integrity. </w:t>
      </w:r>
      <w:r w:rsidRPr="00B70EDA">
        <w:rPr>
          <w:rFonts w:cstheme="minorHAnsi"/>
          <w:b/>
          <w:bCs/>
        </w:rPr>
        <w:t>It is your responsibility to understand what constitutes academic dishonesty.</w:t>
      </w:r>
    </w:p>
    <w:p w14:paraId="291A61E1" w14:textId="77777777" w:rsidR="004A6B32" w:rsidRDefault="004A6B32" w:rsidP="004A6B32">
      <w:pPr>
        <w:rPr>
          <w:rFonts w:cstheme="minorHAnsi"/>
        </w:rPr>
      </w:pPr>
    </w:p>
    <w:p w14:paraId="792A9355" w14:textId="66997B41" w:rsidR="004A6B32" w:rsidRPr="00B70EDA" w:rsidRDefault="004A6B32" w:rsidP="004A6B32">
      <w:pPr>
        <w:rPr>
          <w:rFonts w:cstheme="minorHAnsi"/>
        </w:rPr>
      </w:pPr>
      <w:r w:rsidRPr="00B70EDA">
        <w:rPr>
          <w:rFonts w:cstheme="minorHAnsi"/>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7" w:history="1">
        <w:r w:rsidRPr="00B70EDA">
          <w:rPr>
            <w:rStyle w:val="Hyperlink"/>
            <w:rFonts w:cstheme="minorHAnsi"/>
            <w:i/>
            <w:iCs/>
          </w:rPr>
          <w:t>Academic Integrity Policy</w:t>
        </w:r>
      </w:hyperlink>
      <w:r w:rsidRPr="00B70EDA">
        <w:rPr>
          <w:rFonts w:cstheme="minorHAnsi"/>
          <w:i/>
          <w:iCs/>
        </w:rPr>
        <w:t>,</w:t>
      </w:r>
      <w:r w:rsidRPr="00B70EDA">
        <w:rPr>
          <w:rFonts w:cstheme="minorHAnsi"/>
        </w:rPr>
        <w:t xml:space="preserve"> located at </w:t>
      </w:r>
      <w:hyperlink r:id="rId18" w:history="1">
        <w:r w:rsidRPr="00B70EDA">
          <w:rPr>
            <w:rStyle w:val="Hyperlink"/>
            <w:rFonts w:cstheme="minorHAnsi"/>
          </w:rPr>
          <w:t>https://secretariat.mcmaster.ca/university-policies-procedures- guidelines/</w:t>
        </w:r>
      </w:hyperlink>
      <w:r w:rsidRPr="00B70EDA">
        <w:rPr>
          <w:rFonts w:cstheme="minorHAnsi"/>
        </w:rPr>
        <w:t>.</w:t>
      </w:r>
    </w:p>
    <w:p w14:paraId="2FEB07DD" w14:textId="77777777" w:rsidR="004A6B32" w:rsidRDefault="004A6B32" w:rsidP="004A6B32">
      <w:pPr>
        <w:rPr>
          <w:rFonts w:cstheme="minorHAnsi"/>
        </w:rPr>
      </w:pPr>
    </w:p>
    <w:p w14:paraId="7163286D" w14:textId="384AFD7A" w:rsidR="004A6B32" w:rsidRPr="00B70EDA" w:rsidRDefault="004A6B32" w:rsidP="004A6B32">
      <w:pPr>
        <w:rPr>
          <w:rFonts w:cstheme="minorHAnsi"/>
        </w:rPr>
      </w:pPr>
      <w:r w:rsidRPr="00B70EDA">
        <w:rPr>
          <w:rFonts w:cstheme="minorHAnsi"/>
        </w:rPr>
        <w:t>The following illustrates only three forms of academic dishonesty:</w:t>
      </w:r>
    </w:p>
    <w:p w14:paraId="0412C3E1" w14:textId="77777777" w:rsidR="004A6B32" w:rsidRPr="00B70EDA" w:rsidRDefault="004A6B32" w:rsidP="004A6B32">
      <w:pPr>
        <w:pStyle w:val="ListParagraph"/>
        <w:numPr>
          <w:ilvl w:val="0"/>
          <w:numId w:val="16"/>
        </w:numPr>
        <w:rPr>
          <w:rFonts w:cstheme="minorHAnsi"/>
        </w:rPr>
      </w:pPr>
      <w:r w:rsidRPr="00B70EDA">
        <w:rPr>
          <w:rFonts w:cstheme="minorHAnsi"/>
        </w:rPr>
        <w:t>plagiarism, e.g. the submission of work that is not one’s own or for which other credit has been obtained.</w:t>
      </w:r>
    </w:p>
    <w:p w14:paraId="5EF13FF7" w14:textId="77777777" w:rsidR="004A6B32" w:rsidRPr="00B70EDA" w:rsidRDefault="004A6B32" w:rsidP="004A6B32">
      <w:pPr>
        <w:pStyle w:val="ListParagraph"/>
        <w:numPr>
          <w:ilvl w:val="0"/>
          <w:numId w:val="16"/>
        </w:numPr>
        <w:rPr>
          <w:rFonts w:cstheme="minorHAnsi"/>
        </w:rPr>
      </w:pPr>
      <w:r w:rsidRPr="00B70EDA">
        <w:rPr>
          <w:rFonts w:cstheme="minorHAnsi"/>
        </w:rPr>
        <w:t>improper collaboration in group work.</w:t>
      </w:r>
    </w:p>
    <w:p w14:paraId="2E6E8926" w14:textId="17EF47BF" w:rsidR="004A6B32" w:rsidRPr="00A3172F" w:rsidRDefault="004A6B32" w:rsidP="00A3172F">
      <w:pPr>
        <w:pStyle w:val="ListParagraph"/>
        <w:numPr>
          <w:ilvl w:val="0"/>
          <w:numId w:val="16"/>
        </w:numPr>
        <w:rPr>
          <w:rFonts w:cstheme="minorHAnsi"/>
        </w:rPr>
      </w:pPr>
      <w:r w:rsidRPr="00B70EDA">
        <w:rPr>
          <w:rFonts w:cstheme="minorHAnsi"/>
        </w:rPr>
        <w:t>copying or using unauthorized aids in tests and examinations.</w:t>
      </w:r>
    </w:p>
    <w:p w14:paraId="192E6D78" w14:textId="77777777" w:rsidR="00A3172F" w:rsidRDefault="001F43DA" w:rsidP="00A3172F">
      <w:pPr>
        <w:pStyle w:val="Heading4-1C"/>
      </w:pPr>
      <w:r w:rsidRPr="00B70EDA">
        <w:t>AUTHENTICITY / PLAGIARISM DETECTION</w:t>
      </w:r>
    </w:p>
    <w:p w14:paraId="23974867" w14:textId="6CED237F" w:rsidR="004A6B32" w:rsidRPr="00B70EDA" w:rsidRDefault="004A6B32" w:rsidP="004A6B32">
      <w:pPr>
        <w:rPr>
          <w:rFonts w:cstheme="minorHAnsi"/>
        </w:rPr>
      </w:pPr>
      <w:r w:rsidRPr="00B70EDA">
        <w:rPr>
          <w:rFonts w:cstheme="minorHAnsi"/>
          <w:b/>
          <w:bCs/>
        </w:rPr>
        <w:t>Some courses may</w:t>
      </w:r>
      <w:r w:rsidRPr="00B70EDA">
        <w:rPr>
          <w:rFonts w:cstheme="minorHAnsi"/>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4DAD19DC" w14:textId="77777777" w:rsidR="004A6B32" w:rsidRDefault="004A6B32" w:rsidP="004A6B32">
      <w:pPr>
        <w:rPr>
          <w:rFonts w:cstheme="minorHAnsi"/>
        </w:rPr>
      </w:pPr>
    </w:p>
    <w:p w14:paraId="54C6A772" w14:textId="725D4662" w:rsidR="001F43DA" w:rsidRPr="00B70EDA" w:rsidRDefault="004A6B32" w:rsidP="001F43DA">
      <w:pPr>
        <w:rPr>
          <w:rFonts w:cstheme="minorHAnsi"/>
        </w:rPr>
      </w:pPr>
      <w:r w:rsidRPr="00B70EDA">
        <w:rPr>
          <w:rFonts w:cstheme="minorHAnsi"/>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B70EDA">
        <w:rPr>
          <w:rFonts w:cstheme="minorHAnsi"/>
          <w:b/>
          <w:bCs/>
        </w:rPr>
        <w:t>All submitted work is subject to normal verification that standards of academic integrity have been upheld</w:t>
      </w:r>
      <w:r w:rsidRPr="00B70EDA">
        <w:rPr>
          <w:rFonts w:cstheme="minorHAnsi"/>
        </w:rPr>
        <w:t xml:space="preserve"> (e.g., online search, other software, etc.). For more details about McMaster’s use of Turnitin.com  please go to </w:t>
      </w:r>
      <w:hyperlink r:id="rId19" w:history="1">
        <w:r w:rsidRPr="00B70EDA">
          <w:rPr>
            <w:rStyle w:val="Hyperlink"/>
            <w:rFonts w:cstheme="minorHAnsi"/>
          </w:rPr>
          <w:t>www.mcmaster.ca/academicintegrity</w:t>
        </w:r>
      </w:hyperlink>
      <w:r w:rsidRPr="00B70EDA">
        <w:rPr>
          <w:rFonts w:cstheme="minorHAnsi"/>
        </w:rPr>
        <w:t>.</w:t>
      </w:r>
    </w:p>
    <w:p w14:paraId="6825F5B4" w14:textId="77777777" w:rsidR="00A3172F" w:rsidRDefault="001F43DA" w:rsidP="00A3172F">
      <w:pPr>
        <w:pStyle w:val="Heading4-1C"/>
      </w:pPr>
      <w:r w:rsidRPr="00B70EDA">
        <w:t>COURSES WITH AN ONLINE ELEMENT</w:t>
      </w:r>
    </w:p>
    <w:p w14:paraId="375B90CE" w14:textId="3CF20192" w:rsidR="001F43DA" w:rsidRPr="00A3172F" w:rsidRDefault="004A6B32" w:rsidP="001F43DA">
      <w:pPr>
        <w:rPr>
          <w:rFonts w:cstheme="minorHAnsi"/>
        </w:rPr>
      </w:pPr>
      <w:r w:rsidRPr="00B70EDA">
        <w:rPr>
          <w:rFonts w:cstheme="minorHAnsi"/>
          <w:b/>
          <w:bCs/>
        </w:rPr>
        <w:t>Some courses may</w:t>
      </w:r>
      <w:r w:rsidRPr="00B70EDA">
        <w:rPr>
          <w:rFonts w:cstheme="minorHAnsi"/>
        </w:rPr>
        <w:t xml:space="preserve">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7F65AA17" w14:textId="77777777" w:rsidR="00A3172F" w:rsidRDefault="001F43DA" w:rsidP="00A3172F">
      <w:pPr>
        <w:pStyle w:val="Heading4-1C"/>
      </w:pPr>
      <w:r w:rsidRPr="00B70EDA">
        <w:lastRenderedPageBreak/>
        <w:t>ONLINE PROCTORING</w:t>
      </w:r>
    </w:p>
    <w:p w14:paraId="4D06B5EE" w14:textId="6393ECD8" w:rsidR="001F43DA" w:rsidRPr="00A3172F" w:rsidRDefault="004A6B32" w:rsidP="001F43DA">
      <w:pPr>
        <w:rPr>
          <w:rFonts w:cstheme="minorHAnsi"/>
        </w:rPr>
      </w:pPr>
      <w:r w:rsidRPr="00B70EDA">
        <w:rPr>
          <w:rFonts w:cstheme="minorHAnsi"/>
          <w:b/>
          <w:bCs/>
        </w:rPr>
        <w:t>Some courses may</w:t>
      </w:r>
      <w:r w:rsidRPr="00B70EDA">
        <w:rPr>
          <w:rFonts w:cstheme="minorHAnsi"/>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49E3C026" w14:textId="77777777" w:rsidR="00A3172F" w:rsidRDefault="001F43DA" w:rsidP="00A3172F">
      <w:pPr>
        <w:pStyle w:val="Heading4-1C"/>
      </w:pPr>
      <w:r w:rsidRPr="00B70EDA">
        <w:t>CONDUCT EXPECTATIONS</w:t>
      </w:r>
    </w:p>
    <w:p w14:paraId="53DFBBEA" w14:textId="26E42FC9" w:rsidR="004A6B32" w:rsidRPr="00B70EDA" w:rsidRDefault="004A6B32" w:rsidP="004A6B32">
      <w:pPr>
        <w:rPr>
          <w:rFonts w:cstheme="minorHAnsi"/>
          <w:b/>
          <w:bCs/>
        </w:rPr>
      </w:pPr>
      <w:r w:rsidRPr="00B70EDA">
        <w:rPr>
          <w:rFonts w:cstheme="minorHAnsi"/>
        </w:rPr>
        <w:t xml:space="preserve">As a McMaster student, you have the right to experience, and the responsibility to demonstrate, respectful and dignified interactions within all of our living, learning and working communities. These expectations are described in the </w:t>
      </w:r>
      <w:hyperlink r:id="rId20" w:history="1">
        <w:r w:rsidRPr="00B70EDA">
          <w:rPr>
            <w:rStyle w:val="Hyperlink"/>
            <w:rFonts w:cstheme="minorHAnsi"/>
            <w:i/>
            <w:iCs/>
          </w:rPr>
          <w:t>Code of Student Rights &amp; Responsibilities</w:t>
        </w:r>
      </w:hyperlink>
      <w:r w:rsidRPr="00B70EDA">
        <w:rPr>
          <w:rFonts w:cstheme="minorHAnsi"/>
        </w:rPr>
        <w:t xml:space="preserve"> (the “Code”). All students share the responsibility of maintaining a positive environment for the academic and personal growth of all McMaster community members, </w:t>
      </w:r>
      <w:r w:rsidRPr="00B70EDA">
        <w:rPr>
          <w:rFonts w:cstheme="minorHAnsi"/>
          <w:b/>
          <w:bCs/>
        </w:rPr>
        <w:t>whether in person or online</w:t>
      </w:r>
      <w:r w:rsidRPr="00B70EDA">
        <w:rPr>
          <w:rFonts w:cstheme="minorHAnsi"/>
        </w:rPr>
        <w:t>.</w:t>
      </w:r>
    </w:p>
    <w:p w14:paraId="7841DA23" w14:textId="77777777" w:rsidR="004A6B32" w:rsidRDefault="004A6B32" w:rsidP="004A6B32">
      <w:pPr>
        <w:rPr>
          <w:rFonts w:cstheme="minorHAnsi"/>
        </w:rPr>
      </w:pPr>
    </w:p>
    <w:p w14:paraId="6ED9E9C0" w14:textId="152381ED" w:rsidR="00AD28C8" w:rsidRPr="00A3172F" w:rsidRDefault="004A6B32" w:rsidP="001F43DA">
      <w:pPr>
        <w:rPr>
          <w:rFonts w:cstheme="minorHAnsi"/>
        </w:rPr>
      </w:pPr>
      <w:r w:rsidRPr="00B70EDA">
        <w:rPr>
          <w:rFonts w:cstheme="minorHAnsi"/>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18F6578C" w14:textId="77777777" w:rsidR="00A3172F" w:rsidRDefault="001F43DA" w:rsidP="00A3172F">
      <w:pPr>
        <w:pStyle w:val="Heading4-1C"/>
      </w:pPr>
      <w:r w:rsidRPr="00B70EDA">
        <w:t>ACADEMIC ACCOMMODATION OF STUDENTS WITH DISABILITIES</w:t>
      </w:r>
    </w:p>
    <w:p w14:paraId="273E37C5" w14:textId="3ABA38D8" w:rsidR="001F43DA" w:rsidRPr="00B70EDA" w:rsidRDefault="004A6B32" w:rsidP="001F43DA">
      <w:pPr>
        <w:rPr>
          <w:rFonts w:cstheme="minorHAnsi"/>
          <w:b/>
          <w:bCs/>
        </w:rPr>
      </w:pPr>
      <w:r w:rsidRPr="00B70EDA">
        <w:rPr>
          <w:rFonts w:cstheme="minorHAnsi"/>
        </w:rPr>
        <w:t xml:space="preserve">Students with disabilities who require academic accommodation must contact </w:t>
      </w:r>
      <w:hyperlink r:id="rId21" w:history="1">
        <w:r w:rsidRPr="00B70EDA">
          <w:rPr>
            <w:rStyle w:val="Hyperlink"/>
            <w:rFonts w:cstheme="minorHAnsi"/>
          </w:rPr>
          <w:t>Student Accessibility Services</w:t>
        </w:r>
      </w:hyperlink>
      <w:r w:rsidRPr="00B70EDA">
        <w:rPr>
          <w:rFonts w:cstheme="minorHAnsi"/>
        </w:rPr>
        <w:t xml:space="preserve"> (SAS) at 905-525-9140 ext. 28652 or </w:t>
      </w:r>
      <w:hyperlink r:id="rId22" w:history="1">
        <w:r w:rsidRPr="00B70EDA">
          <w:rPr>
            <w:rStyle w:val="Hyperlink"/>
            <w:rFonts w:cstheme="minorHAnsi"/>
          </w:rPr>
          <w:t>sas@mcmaster.ca</w:t>
        </w:r>
      </w:hyperlink>
      <w:r w:rsidRPr="00B70EDA">
        <w:rPr>
          <w:rFonts w:cstheme="minorHAnsi"/>
        </w:rPr>
        <w:t xml:space="preserve"> to make arrangements with a Program Coordinator. For further information, consult McMaster University’s </w:t>
      </w:r>
      <w:hyperlink r:id="rId23" w:history="1">
        <w:r w:rsidRPr="00B70EDA">
          <w:rPr>
            <w:rStyle w:val="Hyperlink"/>
            <w:rFonts w:cstheme="minorHAnsi"/>
            <w:i/>
            <w:iCs/>
          </w:rPr>
          <w:t>Academic Accommodation of Students with Disabilities</w:t>
        </w:r>
      </w:hyperlink>
      <w:r w:rsidRPr="00B70EDA">
        <w:rPr>
          <w:rFonts w:cstheme="minorHAnsi"/>
        </w:rPr>
        <w:t xml:space="preserve"> policy.</w:t>
      </w:r>
    </w:p>
    <w:p w14:paraId="5B02498B" w14:textId="77777777" w:rsidR="00A3172F" w:rsidRDefault="001F43DA" w:rsidP="00A3172F">
      <w:pPr>
        <w:pStyle w:val="Heading4-1C"/>
      </w:pPr>
      <w:r w:rsidRPr="00B70EDA">
        <w:t>REQUESTS FOR RELIEF FOR MISSED ACADEMIC TERM WORK</w:t>
      </w:r>
    </w:p>
    <w:p w14:paraId="027B9F32" w14:textId="7DB89999" w:rsidR="004A6B32" w:rsidRPr="00A3172F" w:rsidRDefault="004A6B32" w:rsidP="001F43DA">
      <w:pPr>
        <w:rPr>
          <w:rFonts w:cstheme="minorHAnsi"/>
        </w:rPr>
      </w:pPr>
      <w:r w:rsidRPr="00B70EDA">
        <w:rPr>
          <w:rFonts w:cstheme="minorHAnsi"/>
        </w:rPr>
        <w:t xml:space="preserve">In the event of an absence for medical or other reasons, students should review and follow the </w:t>
      </w:r>
      <w:hyperlink r:id="rId24" w:history="1">
        <w:r w:rsidRPr="001A3C36">
          <w:rPr>
            <w:rStyle w:val="Hyperlink"/>
            <w:rFonts w:cstheme="minorHAnsi"/>
            <w:i/>
            <w:iCs/>
          </w:rPr>
          <w:t>Policy on Requests for Relief for Missed Academic Term Work</w:t>
        </w:r>
      </w:hyperlink>
      <w:r>
        <w:rPr>
          <w:rFonts w:cstheme="minorHAnsi"/>
        </w:rPr>
        <w:t>.</w:t>
      </w:r>
    </w:p>
    <w:p w14:paraId="1686061E" w14:textId="77777777" w:rsidR="00A3172F" w:rsidRDefault="001F43DA" w:rsidP="00A3172F">
      <w:pPr>
        <w:pStyle w:val="Heading4-1C"/>
      </w:pPr>
      <w:r w:rsidRPr="00B70EDA">
        <w:t>ACADEMIC ACCOMMODATION FOR RELIGIOUS, INDIGENOUS OR SPIRITUAL OBSERVANCES (RISO)</w:t>
      </w:r>
    </w:p>
    <w:p w14:paraId="61BEA482" w14:textId="7A8AE80C" w:rsidR="004A6B32" w:rsidRPr="00A3172F" w:rsidRDefault="004A6B32" w:rsidP="001F43DA">
      <w:pPr>
        <w:rPr>
          <w:rFonts w:cstheme="minorHAnsi"/>
        </w:rPr>
      </w:pPr>
      <w:r w:rsidRPr="00B70EDA">
        <w:rPr>
          <w:rFonts w:cstheme="minorHAnsi"/>
        </w:rPr>
        <w:t xml:space="preserve">Students requiring academic accommodation based on religious, indigenous or spiritual observances should follow the procedures set out in the </w:t>
      </w:r>
      <w:hyperlink r:id="rId25" w:history="1">
        <w:r w:rsidRPr="00B70EDA">
          <w:rPr>
            <w:rStyle w:val="Hyperlink"/>
            <w:rFonts w:cstheme="minorHAnsi"/>
          </w:rPr>
          <w:t>RISO</w:t>
        </w:r>
      </w:hyperlink>
      <w:r w:rsidRPr="00B70EDA">
        <w:rPr>
          <w:rFonts w:cstheme="minorHAnsi"/>
        </w:rPr>
        <w:t xml:space="preserve"> policy. Students should submit their request to their Faculty Office </w:t>
      </w:r>
      <w:r w:rsidRPr="00B70EDA">
        <w:rPr>
          <w:rFonts w:cstheme="minorHAnsi"/>
          <w:b/>
          <w:bCs/>
          <w:i/>
          <w:iCs/>
        </w:rPr>
        <w:t>normally within 10 working days</w:t>
      </w:r>
      <w:r w:rsidRPr="00B70EDA">
        <w:rPr>
          <w:rFonts w:cstheme="minorHAnsi"/>
        </w:rPr>
        <w:t xml:space="preserve"> of the beginning of term in which they anticipate a need for accommodation </w:t>
      </w:r>
      <w:r w:rsidRPr="00B70EDA">
        <w:rPr>
          <w:rFonts w:cstheme="minorHAnsi"/>
          <w:u w:val="single"/>
        </w:rPr>
        <w:t>or</w:t>
      </w:r>
      <w:r w:rsidRPr="00B70EDA">
        <w:rPr>
          <w:rFonts w:cstheme="minorHAnsi"/>
        </w:rPr>
        <w:t xml:space="preserve"> to the Registrar's Office prior to their examinations. Students should also contact their instructors as soon as possible to make alternative arrangements for classes, assignments, and tests.</w:t>
      </w:r>
    </w:p>
    <w:p w14:paraId="1B29D7A3" w14:textId="77777777" w:rsidR="00A3172F" w:rsidRDefault="001F43DA" w:rsidP="00A3172F">
      <w:pPr>
        <w:pStyle w:val="Heading4-1C"/>
      </w:pPr>
      <w:r w:rsidRPr="00B70EDA">
        <w:t>COPYRIGHT AND RECORDING</w:t>
      </w:r>
    </w:p>
    <w:p w14:paraId="58EA8856" w14:textId="45A9CFA3" w:rsidR="001F43DA" w:rsidRPr="00B70EDA" w:rsidRDefault="004A6B32" w:rsidP="001F43DA">
      <w:pPr>
        <w:rPr>
          <w:rFonts w:cstheme="minorHAnsi"/>
        </w:rPr>
      </w:pPr>
      <w:r w:rsidRPr="00B70EDA">
        <w:rPr>
          <w:rFonts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70EDA">
        <w:rPr>
          <w:rFonts w:cstheme="minorHAnsi"/>
          <w:b/>
          <w:bCs/>
        </w:rPr>
        <w:t xml:space="preserve">including </w:t>
      </w:r>
      <w:r w:rsidRPr="00B70EDA">
        <w:rPr>
          <w:rFonts w:cstheme="minorHAnsi"/>
          <w:b/>
          <w:bCs/>
        </w:rPr>
        <w:lastRenderedPageBreak/>
        <w:t>lectures</w:t>
      </w:r>
      <w:r w:rsidRPr="00B70EDA">
        <w:rPr>
          <w:rFonts w:cstheme="minorHAnsi"/>
        </w:rPr>
        <w:t xml:space="preserve"> by University instructors.</w:t>
      </w:r>
      <w:r>
        <w:rPr>
          <w:rFonts w:cstheme="minorHAnsi"/>
        </w:rPr>
        <w:t xml:space="preserve"> </w:t>
      </w:r>
      <w:r w:rsidRPr="00B70EDA">
        <w:rPr>
          <w:rFonts w:cstheme="minorHAnsi"/>
        </w:rPr>
        <w:t>The recording of lectures, tutorials, or other methods of instruction may occur during a course. Recording may be done either</w:t>
      </w:r>
      <w:r>
        <w:rPr>
          <w:rFonts w:cstheme="minorHAnsi"/>
        </w:rPr>
        <w:t xml:space="preserve"> by</w:t>
      </w:r>
      <w:r w:rsidRPr="00B70EDA">
        <w:rPr>
          <w:rFonts w:cstheme="minorHAnsi"/>
        </w:rPr>
        <w:t xml:space="preserve">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C2C5923" w14:textId="77777777" w:rsidR="00A3172F" w:rsidRDefault="001F43DA" w:rsidP="00A3172F">
      <w:pPr>
        <w:pStyle w:val="Heading4-1C"/>
      </w:pPr>
      <w:r w:rsidRPr="00B70EDA">
        <w:t>EXTREME CIRCUMSTANCES</w:t>
      </w:r>
    </w:p>
    <w:p w14:paraId="33243264" w14:textId="6A0307B0" w:rsidR="001F43DA" w:rsidRPr="00B70EDA" w:rsidRDefault="004A6B32" w:rsidP="001F43DA">
      <w:pPr>
        <w:rPr>
          <w:rFonts w:cstheme="minorHAnsi"/>
        </w:rPr>
      </w:pPr>
      <w:r w:rsidRPr="00B70EDA">
        <w:rPr>
          <w:rFonts w:cstheme="minorHAnsi"/>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60E333C0" w14:textId="1594B080" w:rsidR="00A3172F" w:rsidRPr="00A3172F" w:rsidRDefault="001F43DA" w:rsidP="00A3172F">
      <w:pPr>
        <w:pStyle w:val="Heading4-1C"/>
      </w:pPr>
      <w:r w:rsidRPr="00B70EDA">
        <w:t>NOTES FOR ALL ARTS &amp; SCIENCE COURSES</w:t>
      </w:r>
    </w:p>
    <w:p w14:paraId="5AAD6663" w14:textId="77777777" w:rsidR="001F43DA" w:rsidRPr="00B70EDA" w:rsidRDefault="001F43DA" w:rsidP="004A6B32">
      <w:pPr>
        <w:pStyle w:val="ListParagraph"/>
        <w:numPr>
          <w:ilvl w:val="0"/>
          <w:numId w:val="17"/>
        </w:numPr>
        <w:spacing w:after="160"/>
        <w:ind w:left="714" w:hanging="357"/>
        <w:rPr>
          <w:rFonts w:cstheme="minorHAnsi"/>
        </w:rPr>
      </w:pPr>
      <w:r w:rsidRPr="00B70EDA">
        <w:rPr>
          <w:rFonts w:cstheme="minorHAnsi"/>
        </w:rPr>
        <w:t xml:space="preserve">Some of the statements above refer </w:t>
      </w:r>
      <w:r w:rsidRPr="00B70EDA">
        <w:rPr>
          <w:rFonts w:eastAsia="Times New Roman" w:cstheme="minorHAnsi"/>
          <w:color w:val="000000"/>
          <w:lang w:val="en-CA"/>
        </w:rPr>
        <w:t>to a “Faculty Office”; please note that the Arts &amp; Science Program Office serves in this capacity.</w:t>
      </w:r>
    </w:p>
    <w:p w14:paraId="493DB855" w14:textId="2E4E5237" w:rsidR="001F43DA" w:rsidRPr="00223A9E" w:rsidRDefault="001F43DA" w:rsidP="004A6B32">
      <w:pPr>
        <w:pStyle w:val="ListParagraph"/>
        <w:numPr>
          <w:ilvl w:val="0"/>
          <w:numId w:val="17"/>
        </w:numPr>
        <w:spacing w:after="160"/>
        <w:ind w:left="714" w:hanging="357"/>
        <w:rPr>
          <w:rFonts w:cstheme="minorHAnsi"/>
        </w:rPr>
      </w:pPr>
      <w:r w:rsidRPr="00B70EDA">
        <w:rPr>
          <w:rFonts w:eastAsia="Times New Roman" w:cstheme="minorHAnsi"/>
          <w:color w:val="000000"/>
          <w:lang w:val="en-CA"/>
        </w:rPr>
        <w:t>It is the responsibility of students to check their McMaster email regularly. Announcements will be made in class, via A2L, and/or via the course email distribution list.</w:t>
      </w:r>
    </w:p>
    <w:p w14:paraId="6CC423ED" w14:textId="77777777" w:rsidR="00223A9E" w:rsidRPr="003134A5" w:rsidRDefault="00223A9E" w:rsidP="004A6B32">
      <w:pPr>
        <w:pStyle w:val="ListParagraph"/>
        <w:numPr>
          <w:ilvl w:val="0"/>
          <w:numId w:val="17"/>
        </w:numPr>
        <w:spacing w:after="160"/>
        <w:ind w:left="714" w:hanging="357"/>
        <w:rPr>
          <w:color w:val="000000"/>
          <w:lang w:val="en-CA"/>
        </w:rPr>
      </w:pPr>
      <w:r w:rsidRPr="003134A5">
        <w:rPr>
          <w:color w:val="000000"/>
          <w:lang w:val="en-CA"/>
        </w:rPr>
        <w:t xml:space="preserve">For additional information regarding requests for accommodation, relief for missed term work (e.g. MSAF), deferred examinations, etc., students should read carefully the </w:t>
      </w:r>
      <w:hyperlink r:id="rId26" w:history="1">
        <w:r w:rsidRPr="003134A5">
          <w:rPr>
            <w:rStyle w:val="Hyperlink"/>
            <w:lang w:val="en-CA"/>
          </w:rPr>
          <w:t>Requests</w:t>
        </w:r>
      </w:hyperlink>
      <w:r w:rsidRPr="003134A5">
        <w:rPr>
          <w:color w:val="000000"/>
          <w:lang w:val="en-CA"/>
        </w:rPr>
        <w:t xml:space="preserve"> and </w:t>
      </w:r>
      <w:hyperlink r:id="rId27" w:history="1">
        <w:r w:rsidRPr="003134A5">
          <w:rPr>
            <w:rStyle w:val="Hyperlink"/>
            <w:lang w:val="en-CA"/>
          </w:rPr>
          <w:t>Resources</w:t>
        </w:r>
      </w:hyperlink>
      <w:r w:rsidRPr="003134A5">
        <w:rPr>
          <w:color w:val="000000"/>
          <w:lang w:val="en-CA"/>
        </w:rPr>
        <w:t xml:space="preserve"> pages on the Arts &amp; Science Program website.</w:t>
      </w:r>
    </w:p>
    <w:p w14:paraId="0DB4D10A" w14:textId="77777777" w:rsidR="00223A9E" w:rsidRPr="00B70EDA" w:rsidRDefault="00223A9E" w:rsidP="00223A9E">
      <w:pPr>
        <w:pStyle w:val="ListParagraph"/>
        <w:spacing w:after="160" w:line="259" w:lineRule="auto"/>
        <w:rPr>
          <w:rFonts w:cstheme="minorHAnsi"/>
        </w:rPr>
      </w:pPr>
    </w:p>
    <w:p w14:paraId="3D22E279" w14:textId="77777777" w:rsidR="003D2D07" w:rsidRPr="000E7149" w:rsidRDefault="003D2D07" w:rsidP="004D044F">
      <w:pPr>
        <w:tabs>
          <w:tab w:val="left" w:pos="1395"/>
        </w:tabs>
        <w:rPr>
          <w:rFonts w:asciiTheme="majorHAnsi" w:hAnsiTheme="majorHAnsi"/>
          <w:b/>
        </w:rPr>
      </w:pPr>
    </w:p>
    <w:sectPr w:rsidR="003D2D07" w:rsidRPr="000E7149" w:rsidSect="00644E1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DAB3" w14:textId="77777777" w:rsidR="00935059" w:rsidRDefault="00935059" w:rsidP="00692EE7">
      <w:r>
        <w:separator/>
      </w:r>
    </w:p>
  </w:endnote>
  <w:endnote w:type="continuationSeparator" w:id="0">
    <w:p w14:paraId="64D16765" w14:textId="77777777" w:rsidR="00935059" w:rsidRDefault="00935059" w:rsidP="0069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Semibold">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50383"/>
      <w:docPartObj>
        <w:docPartGallery w:val="Page Numbers (Bottom of Page)"/>
        <w:docPartUnique/>
      </w:docPartObj>
    </w:sdtPr>
    <w:sdtEndPr>
      <w:rPr>
        <w:noProof/>
      </w:rPr>
    </w:sdtEndPr>
    <w:sdtContent>
      <w:p w14:paraId="153BB043" w14:textId="6346DB47" w:rsidR="0044218D" w:rsidRDefault="0044218D">
        <w:pPr>
          <w:pStyle w:val="Footer"/>
          <w:jc w:val="right"/>
        </w:pPr>
        <w:r>
          <w:fldChar w:fldCharType="begin"/>
        </w:r>
        <w:r>
          <w:instrText xml:space="preserve"> PAGE   \* MERGEFORMAT </w:instrText>
        </w:r>
        <w:r>
          <w:fldChar w:fldCharType="separate"/>
        </w:r>
        <w:r w:rsidR="005600AF">
          <w:rPr>
            <w:noProof/>
          </w:rPr>
          <w:t>2</w:t>
        </w:r>
        <w:r>
          <w:rPr>
            <w:noProof/>
          </w:rPr>
          <w:fldChar w:fldCharType="end"/>
        </w:r>
      </w:p>
    </w:sdtContent>
  </w:sdt>
  <w:p w14:paraId="2E0BE8A0" w14:textId="77777777" w:rsidR="0044218D" w:rsidRDefault="0044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03D0" w14:textId="77777777" w:rsidR="00935059" w:rsidRDefault="00935059" w:rsidP="00692EE7">
      <w:r>
        <w:separator/>
      </w:r>
    </w:p>
  </w:footnote>
  <w:footnote w:type="continuationSeparator" w:id="0">
    <w:p w14:paraId="7FDA9BB3" w14:textId="77777777" w:rsidR="00935059" w:rsidRDefault="00935059" w:rsidP="00692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DA9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364D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CE1E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520B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ABA9F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FB264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D6D9B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5298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4C809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44C5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BCE9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8E7DA7"/>
    <w:multiLevelType w:val="hybridMultilevel"/>
    <w:tmpl w:val="77AC61FC"/>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D174D"/>
    <w:multiLevelType w:val="hybridMultilevel"/>
    <w:tmpl w:val="41F4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81ED2"/>
    <w:multiLevelType w:val="hybridMultilevel"/>
    <w:tmpl w:val="3664E9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2910F4"/>
    <w:multiLevelType w:val="hybridMultilevel"/>
    <w:tmpl w:val="D88062C8"/>
    <w:lvl w:ilvl="0" w:tplc="1009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ahom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ahom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C619F"/>
    <w:multiLevelType w:val="hybridMultilevel"/>
    <w:tmpl w:val="099CED36"/>
    <w:lvl w:ilvl="0" w:tplc="912482D0">
      <w:start w:val="1"/>
      <w:numFmt w:val="bullet"/>
      <w:lvlText w:val="-"/>
      <w:lvlJc w:val="left"/>
      <w:pPr>
        <w:tabs>
          <w:tab w:val="num" w:pos="720"/>
        </w:tabs>
        <w:ind w:left="720" w:hanging="360"/>
      </w:pPr>
      <w:rPr>
        <w:rFonts w:ascii="Times New Roman" w:eastAsia="Times New Roman" w:hAnsi="Times New Roman" w:cs="Times New Roman" w:hint="default"/>
      </w:rPr>
    </w:lvl>
    <w:lvl w:ilvl="1" w:tplc="10090001">
      <w:start w:val="1"/>
      <w:numFmt w:val="bullet"/>
      <w:lvlText w:val=""/>
      <w:lvlJc w:val="left"/>
      <w:pPr>
        <w:ind w:left="1440" w:hanging="360"/>
      </w:pPr>
      <w:rPr>
        <w:rFonts w:ascii="Symbol" w:hAnsi="Symbol" w:hint="default"/>
      </w:rPr>
    </w:lvl>
    <w:lvl w:ilvl="2" w:tplc="B87E3ACE">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061FB"/>
    <w:multiLevelType w:val="hybridMultilevel"/>
    <w:tmpl w:val="DF1E46D8"/>
    <w:lvl w:ilvl="0" w:tplc="10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ahoma"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ahom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ahom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1627D"/>
    <w:multiLevelType w:val="hybridMultilevel"/>
    <w:tmpl w:val="E1F402B0"/>
    <w:lvl w:ilvl="0" w:tplc="CE10E648">
      <w:start w:val="9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65A4E"/>
    <w:multiLevelType w:val="hybridMultilevel"/>
    <w:tmpl w:val="24CE544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57169"/>
    <w:multiLevelType w:val="multilevel"/>
    <w:tmpl w:val="099CED36"/>
    <w:styleLink w:val="CurrentList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845D0"/>
    <w:multiLevelType w:val="hybridMultilevel"/>
    <w:tmpl w:val="5EC8A0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06339924">
    <w:abstractNumId w:val="0"/>
  </w:num>
  <w:num w:numId="2" w16cid:durableId="1398162169">
    <w:abstractNumId w:val="1"/>
  </w:num>
  <w:num w:numId="3" w16cid:durableId="610864579">
    <w:abstractNumId w:val="2"/>
  </w:num>
  <w:num w:numId="4" w16cid:durableId="1728340323">
    <w:abstractNumId w:val="3"/>
  </w:num>
  <w:num w:numId="5" w16cid:durableId="1626736686">
    <w:abstractNumId w:val="4"/>
  </w:num>
  <w:num w:numId="6" w16cid:durableId="1035883685">
    <w:abstractNumId w:val="9"/>
  </w:num>
  <w:num w:numId="7" w16cid:durableId="259874664">
    <w:abstractNumId w:val="5"/>
  </w:num>
  <w:num w:numId="8" w16cid:durableId="787622663">
    <w:abstractNumId w:val="6"/>
  </w:num>
  <w:num w:numId="9" w16cid:durableId="1634023372">
    <w:abstractNumId w:val="7"/>
  </w:num>
  <w:num w:numId="10" w16cid:durableId="1260993087">
    <w:abstractNumId w:val="8"/>
  </w:num>
  <w:num w:numId="11" w16cid:durableId="838348239">
    <w:abstractNumId w:val="10"/>
  </w:num>
  <w:num w:numId="12" w16cid:durableId="1395196624">
    <w:abstractNumId w:val="12"/>
  </w:num>
  <w:num w:numId="13" w16cid:durableId="2114278627">
    <w:abstractNumId w:val="19"/>
  </w:num>
  <w:num w:numId="14" w16cid:durableId="748964704">
    <w:abstractNumId w:val="11"/>
  </w:num>
  <w:num w:numId="15" w16cid:durableId="1336230640">
    <w:abstractNumId w:val="16"/>
  </w:num>
  <w:num w:numId="16" w16cid:durableId="1351956795">
    <w:abstractNumId w:val="15"/>
  </w:num>
  <w:num w:numId="17" w16cid:durableId="1217887505">
    <w:abstractNumId w:val="18"/>
  </w:num>
  <w:num w:numId="18" w16cid:durableId="138504199">
    <w:abstractNumId w:val="13"/>
  </w:num>
  <w:num w:numId="19" w16cid:durableId="1831677251">
    <w:abstractNumId w:val="22"/>
  </w:num>
  <w:num w:numId="20" w16cid:durableId="609357721">
    <w:abstractNumId w:val="20"/>
  </w:num>
  <w:num w:numId="21" w16cid:durableId="552274766">
    <w:abstractNumId w:val="14"/>
  </w:num>
  <w:num w:numId="22" w16cid:durableId="338969476">
    <w:abstractNumId w:val="17"/>
  </w:num>
  <w:num w:numId="23" w16cid:durableId="2725139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17"/>
    <w:rsid w:val="00001298"/>
    <w:rsid w:val="000034F8"/>
    <w:rsid w:val="00004F91"/>
    <w:rsid w:val="0001304A"/>
    <w:rsid w:val="00024E73"/>
    <w:rsid w:val="00025E30"/>
    <w:rsid w:val="000264D4"/>
    <w:rsid w:val="00026933"/>
    <w:rsid w:val="0002765B"/>
    <w:rsid w:val="000420FA"/>
    <w:rsid w:val="00042793"/>
    <w:rsid w:val="00044339"/>
    <w:rsid w:val="00063943"/>
    <w:rsid w:val="0007180F"/>
    <w:rsid w:val="00076223"/>
    <w:rsid w:val="0007778D"/>
    <w:rsid w:val="00083261"/>
    <w:rsid w:val="000941B1"/>
    <w:rsid w:val="00094559"/>
    <w:rsid w:val="0009534C"/>
    <w:rsid w:val="00096887"/>
    <w:rsid w:val="000A0838"/>
    <w:rsid w:val="000A154C"/>
    <w:rsid w:val="000A277B"/>
    <w:rsid w:val="000A70AE"/>
    <w:rsid w:val="000B341D"/>
    <w:rsid w:val="000B5434"/>
    <w:rsid w:val="000B5A9B"/>
    <w:rsid w:val="000B5E9D"/>
    <w:rsid w:val="000B68D2"/>
    <w:rsid w:val="000C1217"/>
    <w:rsid w:val="000C3E62"/>
    <w:rsid w:val="000D13A7"/>
    <w:rsid w:val="000E5CD2"/>
    <w:rsid w:val="000E7149"/>
    <w:rsid w:val="000F5963"/>
    <w:rsid w:val="00103ADE"/>
    <w:rsid w:val="00104232"/>
    <w:rsid w:val="0011586A"/>
    <w:rsid w:val="00116BFD"/>
    <w:rsid w:val="00126555"/>
    <w:rsid w:val="001453F5"/>
    <w:rsid w:val="00164DB7"/>
    <w:rsid w:val="0017099A"/>
    <w:rsid w:val="0017123F"/>
    <w:rsid w:val="00172830"/>
    <w:rsid w:val="00172DA3"/>
    <w:rsid w:val="001814A1"/>
    <w:rsid w:val="00187F38"/>
    <w:rsid w:val="00192A74"/>
    <w:rsid w:val="001A4B4C"/>
    <w:rsid w:val="001B15AD"/>
    <w:rsid w:val="001B495B"/>
    <w:rsid w:val="001C1910"/>
    <w:rsid w:val="001C1BCA"/>
    <w:rsid w:val="001C24CE"/>
    <w:rsid w:val="001C2DDB"/>
    <w:rsid w:val="001E32D9"/>
    <w:rsid w:val="001E448F"/>
    <w:rsid w:val="001E6BFB"/>
    <w:rsid w:val="001E73D4"/>
    <w:rsid w:val="001E7430"/>
    <w:rsid w:val="001F43DA"/>
    <w:rsid w:val="001F659A"/>
    <w:rsid w:val="001F714A"/>
    <w:rsid w:val="002024BC"/>
    <w:rsid w:val="00204226"/>
    <w:rsid w:val="00207D85"/>
    <w:rsid w:val="0021079F"/>
    <w:rsid w:val="00214C8A"/>
    <w:rsid w:val="002205D4"/>
    <w:rsid w:val="00220FD6"/>
    <w:rsid w:val="00223A9E"/>
    <w:rsid w:val="0023322E"/>
    <w:rsid w:val="002333E5"/>
    <w:rsid w:val="00233FA5"/>
    <w:rsid w:val="00234AB6"/>
    <w:rsid w:val="00235814"/>
    <w:rsid w:val="00241561"/>
    <w:rsid w:val="00241EB9"/>
    <w:rsid w:val="002458A5"/>
    <w:rsid w:val="002706CB"/>
    <w:rsid w:val="002718D4"/>
    <w:rsid w:val="0027359E"/>
    <w:rsid w:val="00275895"/>
    <w:rsid w:val="0028525F"/>
    <w:rsid w:val="0029377A"/>
    <w:rsid w:val="00297A46"/>
    <w:rsid w:val="002A14E6"/>
    <w:rsid w:val="002B10BE"/>
    <w:rsid w:val="002B4B64"/>
    <w:rsid w:val="002B62A9"/>
    <w:rsid w:val="002B776B"/>
    <w:rsid w:val="002C1A13"/>
    <w:rsid w:val="002C4FED"/>
    <w:rsid w:val="002C7A7B"/>
    <w:rsid w:val="002D4113"/>
    <w:rsid w:val="002D568D"/>
    <w:rsid w:val="002D7CBD"/>
    <w:rsid w:val="002F5C54"/>
    <w:rsid w:val="00302FFC"/>
    <w:rsid w:val="003037C3"/>
    <w:rsid w:val="003235D7"/>
    <w:rsid w:val="0032381A"/>
    <w:rsid w:val="003240B7"/>
    <w:rsid w:val="003334B6"/>
    <w:rsid w:val="00334678"/>
    <w:rsid w:val="00335398"/>
    <w:rsid w:val="00336E32"/>
    <w:rsid w:val="003431E3"/>
    <w:rsid w:val="00347D99"/>
    <w:rsid w:val="00351617"/>
    <w:rsid w:val="00360C76"/>
    <w:rsid w:val="0037061D"/>
    <w:rsid w:val="00375F8C"/>
    <w:rsid w:val="00376A3F"/>
    <w:rsid w:val="00382212"/>
    <w:rsid w:val="0038799B"/>
    <w:rsid w:val="00391EDE"/>
    <w:rsid w:val="003A3891"/>
    <w:rsid w:val="003A4617"/>
    <w:rsid w:val="003A59B1"/>
    <w:rsid w:val="003A6CE7"/>
    <w:rsid w:val="003B1391"/>
    <w:rsid w:val="003B7026"/>
    <w:rsid w:val="003C57A7"/>
    <w:rsid w:val="003C6F6B"/>
    <w:rsid w:val="003D01DD"/>
    <w:rsid w:val="003D2D07"/>
    <w:rsid w:val="003D30B7"/>
    <w:rsid w:val="003D5983"/>
    <w:rsid w:val="003D7E95"/>
    <w:rsid w:val="003E4A5C"/>
    <w:rsid w:val="003F0BD6"/>
    <w:rsid w:val="003F28A7"/>
    <w:rsid w:val="00417DCE"/>
    <w:rsid w:val="00424888"/>
    <w:rsid w:val="00434BB9"/>
    <w:rsid w:val="004404C9"/>
    <w:rsid w:val="00440C42"/>
    <w:rsid w:val="0044218D"/>
    <w:rsid w:val="0044560F"/>
    <w:rsid w:val="004456F7"/>
    <w:rsid w:val="00446ACB"/>
    <w:rsid w:val="0047237C"/>
    <w:rsid w:val="00474ABC"/>
    <w:rsid w:val="004752A9"/>
    <w:rsid w:val="00482629"/>
    <w:rsid w:val="004A1552"/>
    <w:rsid w:val="004A5ABE"/>
    <w:rsid w:val="004A6B32"/>
    <w:rsid w:val="004B4C2F"/>
    <w:rsid w:val="004B7B26"/>
    <w:rsid w:val="004C4D19"/>
    <w:rsid w:val="004D044F"/>
    <w:rsid w:val="004D18EF"/>
    <w:rsid w:val="004D4FF3"/>
    <w:rsid w:val="004F02E0"/>
    <w:rsid w:val="004F4AF0"/>
    <w:rsid w:val="0050534F"/>
    <w:rsid w:val="00506830"/>
    <w:rsid w:val="0051274E"/>
    <w:rsid w:val="005144AC"/>
    <w:rsid w:val="0051665A"/>
    <w:rsid w:val="00520E83"/>
    <w:rsid w:val="0053712A"/>
    <w:rsid w:val="005424E9"/>
    <w:rsid w:val="00545B21"/>
    <w:rsid w:val="005506B2"/>
    <w:rsid w:val="0055351A"/>
    <w:rsid w:val="00556FEE"/>
    <w:rsid w:val="005600AF"/>
    <w:rsid w:val="00561938"/>
    <w:rsid w:val="005636CE"/>
    <w:rsid w:val="00570237"/>
    <w:rsid w:val="00583150"/>
    <w:rsid w:val="00584F6C"/>
    <w:rsid w:val="0059114F"/>
    <w:rsid w:val="005A3878"/>
    <w:rsid w:val="005A4145"/>
    <w:rsid w:val="005A4912"/>
    <w:rsid w:val="005A4D11"/>
    <w:rsid w:val="005A6717"/>
    <w:rsid w:val="005C0C09"/>
    <w:rsid w:val="005C54E9"/>
    <w:rsid w:val="005C6CD6"/>
    <w:rsid w:val="005D7E0A"/>
    <w:rsid w:val="005E0BA5"/>
    <w:rsid w:val="006103AE"/>
    <w:rsid w:val="006238D0"/>
    <w:rsid w:val="00644227"/>
    <w:rsid w:val="00644E1C"/>
    <w:rsid w:val="00645806"/>
    <w:rsid w:val="00655945"/>
    <w:rsid w:val="0065646D"/>
    <w:rsid w:val="00662943"/>
    <w:rsid w:val="00664AF8"/>
    <w:rsid w:val="00664C26"/>
    <w:rsid w:val="00667177"/>
    <w:rsid w:val="00671126"/>
    <w:rsid w:val="00674251"/>
    <w:rsid w:val="00683FD2"/>
    <w:rsid w:val="00692EE7"/>
    <w:rsid w:val="006930C2"/>
    <w:rsid w:val="006931D1"/>
    <w:rsid w:val="00694611"/>
    <w:rsid w:val="0069792D"/>
    <w:rsid w:val="006A0E3E"/>
    <w:rsid w:val="006A1004"/>
    <w:rsid w:val="006A6348"/>
    <w:rsid w:val="006B6A2F"/>
    <w:rsid w:val="006C77AB"/>
    <w:rsid w:val="006D0AF5"/>
    <w:rsid w:val="006D5BF4"/>
    <w:rsid w:val="006D678E"/>
    <w:rsid w:val="006E47C9"/>
    <w:rsid w:val="006E539D"/>
    <w:rsid w:val="006E5A57"/>
    <w:rsid w:val="006E7AD3"/>
    <w:rsid w:val="006F642F"/>
    <w:rsid w:val="0070313B"/>
    <w:rsid w:val="007066C9"/>
    <w:rsid w:val="00707FCC"/>
    <w:rsid w:val="007263FC"/>
    <w:rsid w:val="00726CFA"/>
    <w:rsid w:val="00737C65"/>
    <w:rsid w:val="00741E00"/>
    <w:rsid w:val="00744548"/>
    <w:rsid w:val="00751D62"/>
    <w:rsid w:val="00760574"/>
    <w:rsid w:val="0076101A"/>
    <w:rsid w:val="00761043"/>
    <w:rsid w:val="007613BA"/>
    <w:rsid w:val="00765464"/>
    <w:rsid w:val="00773413"/>
    <w:rsid w:val="00774C01"/>
    <w:rsid w:val="007830AE"/>
    <w:rsid w:val="007853B1"/>
    <w:rsid w:val="00786130"/>
    <w:rsid w:val="00787BEA"/>
    <w:rsid w:val="00797268"/>
    <w:rsid w:val="007A1D5B"/>
    <w:rsid w:val="007A3E15"/>
    <w:rsid w:val="007B3586"/>
    <w:rsid w:val="007C08E7"/>
    <w:rsid w:val="007C54CE"/>
    <w:rsid w:val="007C5E65"/>
    <w:rsid w:val="007D4370"/>
    <w:rsid w:val="007E124B"/>
    <w:rsid w:val="007E162B"/>
    <w:rsid w:val="007E25CF"/>
    <w:rsid w:val="007E2880"/>
    <w:rsid w:val="007E3C0D"/>
    <w:rsid w:val="007E651B"/>
    <w:rsid w:val="007F463E"/>
    <w:rsid w:val="00802589"/>
    <w:rsid w:val="0080713C"/>
    <w:rsid w:val="00810B1D"/>
    <w:rsid w:val="00812CA0"/>
    <w:rsid w:val="00827E4B"/>
    <w:rsid w:val="00832B61"/>
    <w:rsid w:val="0083676F"/>
    <w:rsid w:val="00843BD4"/>
    <w:rsid w:val="00844F3C"/>
    <w:rsid w:val="00844F64"/>
    <w:rsid w:val="00852704"/>
    <w:rsid w:val="00853938"/>
    <w:rsid w:val="008707A6"/>
    <w:rsid w:val="008721F4"/>
    <w:rsid w:val="008763B0"/>
    <w:rsid w:val="00882E4C"/>
    <w:rsid w:val="00883B6E"/>
    <w:rsid w:val="00884BFF"/>
    <w:rsid w:val="008911F5"/>
    <w:rsid w:val="008924B2"/>
    <w:rsid w:val="00892ECC"/>
    <w:rsid w:val="008944F2"/>
    <w:rsid w:val="008A029F"/>
    <w:rsid w:val="008A69C7"/>
    <w:rsid w:val="008B4238"/>
    <w:rsid w:val="008C3564"/>
    <w:rsid w:val="008C54CB"/>
    <w:rsid w:val="008D02D7"/>
    <w:rsid w:val="008D1467"/>
    <w:rsid w:val="008E6F29"/>
    <w:rsid w:val="008F2DFD"/>
    <w:rsid w:val="00923041"/>
    <w:rsid w:val="00931D57"/>
    <w:rsid w:val="00935059"/>
    <w:rsid w:val="00935B6D"/>
    <w:rsid w:val="009368F2"/>
    <w:rsid w:val="0094206E"/>
    <w:rsid w:val="00950F3C"/>
    <w:rsid w:val="009522A5"/>
    <w:rsid w:val="00953979"/>
    <w:rsid w:val="00953C41"/>
    <w:rsid w:val="00955473"/>
    <w:rsid w:val="009616BC"/>
    <w:rsid w:val="00963899"/>
    <w:rsid w:val="00971216"/>
    <w:rsid w:val="00975E15"/>
    <w:rsid w:val="00985E81"/>
    <w:rsid w:val="00987B54"/>
    <w:rsid w:val="00990590"/>
    <w:rsid w:val="009A17F0"/>
    <w:rsid w:val="009A7D9C"/>
    <w:rsid w:val="009B21A8"/>
    <w:rsid w:val="009C05EF"/>
    <w:rsid w:val="009C1191"/>
    <w:rsid w:val="009C303F"/>
    <w:rsid w:val="009C3D50"/>
    <w:rsid w:val="009C5207"/>
    <w:rsid w:val="009C770B"/>
    <w:rsid w:val="009E451B"/>
    <w:rsid w:val="009E5F0B"/>
    <w:rsid w:val="009F22ED"/>
    <w:rsid w:val="009F4AAF"/>
    <w:rsid w:val="00A1051A"/>
    <w:rsid w:val="00A16CD3"/>
    <w:rsid w:val="00A3172F"/>
    <w:rsid w:val="00A34C76"/>
    <w:rsid w:val="00A35DCE"/>
    <w:rsid w:val="00A4068C"/>
    <w:rsid w:val="00A54F0E"/>
    <w:rsid w:val="00A629C7"/>
    <w:rsid w:val="00A679AD"/>
    <w:rsid w:val="00A800AE"/>
    <w:rsid w:val="00A84662"/>
    <w:rsid w:val="00A96F3A"/>
    <w:rsid w:val="00AA4682"/>
    <w:rsid w:val="00AA5635"/>
    <w:rsid w:val="00AC2897"/>
    <w:rsid w:val="00AC57A6"/>
    <w:rsid w:val="00AD2534"/>
    <w:rsid w:val="00AD28C8"/>
    <w:rsid w:val="00AD4268"/>
    <w:rsid w:val="00AD5AE2"/>
    <w:rsid w:val="00AD7D4E"/>
    <w:rsid w:val="00AE1762"/>
    <w:rsid w:val="00AE487A"/>
    <w:rsid w:val="00AF481C"/>
    <w:rsid w:val="00AF5A2D"/>
    <w:rsid w:val="00B01903"/>
    <w:rsid w:val="00B0297C"/>
    <w:rsid w:val="00B15BE8"/>
    <w:rsid w:val="00B24208"/>
    <w:rsid w:val="00B2546D"/>
    <w:rsid w:val="00B328A6"/>
    <w:rsid w:val="00B40BE4"/>
    <w:rsid w:val="00B43EAD"/>
    <w:rsid w:val="00B44890"/>
    <w:rsid w:val="00B47DDB"/>
    <w:rsid w:val="00B52AE0"/>
    <w:rsid w:val="00B6707A"/>
    <w:rsid w:val="00B71B09"/>
    <w:rsid w:val="00B72B2C"/>
    <w:rsid w:val="00B80662"/>
    <w:rsid w:val="00B8225A"/>
    <w:rsid w:val="00B823E2"/>
    <w:rsid w:val="00B91A15"/>
    <w:rsid w:val="00BB001A"/>
    <w:rsid w:val="00BB731F"/>
    <w:rsid w:val="00BC1B7F"/>
    <w:rsid w:val="00BD57FB"/>
    <w:rsid w:val="00BD67FC"/>
    <w:rsid w:val="00BD7F38"/>
    <w:rsid w:val="00BE0647"/>
    <w:rsid w:val="00BE7EAB"/>
    <w:rsid w:val="00C13AF8"/>
    <w:rsid w:val="00C335D8"/>
    <w:rsid w:val="00C417D3"/>
    <w:rsid w:val="00C44EAC"/>
    <w:rsid w:val="00C45CB7"/>
    <w:rsid w:val="00C52897"/>
    <w:rsid w:val="00C567BF"/>
    <w:rsid w:val="00C6026D"/>
    <w:rsid w:val="00C67B1F"/>
    <w:rsid w:val="00C7214A"/>
    <w:rsid w:val="00C87B98"/>
    <w:rsid w:val="00C91C5A"/>
    <w:rsid w:val="00C95A65"/>
    <w:rsid w:val="00C96D08"/>
    <w:rsid w:val="00CA2064"/>
    <w:rsid w:val="00CA4582"/>
    <w:rsid w:val="00CA5523"/>
    <w:rsid w:val="00CC4CC1"/>
    <w:rsid w:val="00CC72AA"/>
    <w:rsid w:val="00CD0815"/>
    <w:rsid w:val="00CE31EA"/>
    <w:rsid w:val="00CE4F62"/>
    <w:rsid w:val="00CF5C4D"/>
    <w:rsid w:val="00CF6307"/>
    <w:rsid w:val="00D00A71"/>
    <w:rsid w:val="00D04BFF"/>
    <w:rsid w:val="00D06F29"/>
    <w:rsid w:val="00D2274B"/>
    <w:rsid w:val="00D26695"/>
    <w:rsid w:val="00D27027"/>
    <w:rsid w:val="00D27295"/>
    <w:rsid w:val="00D34A37"/>
    <w:rsid w:val="00D40F69"/>
    <w:rsid w:val="00D416B1"/>
    <w:rsid w:val="00D47C62"/>
    <w:rsid w:val="00D50532"/>
    <w:rsid w:val="00D5160F"/>
    <w:rsid w:val="00D520A1"/>
    <w:rsid w:val="00D53900"/>
    <w:rsid w:val="00D53906"/>
    <w:rsid w:val="00D55E4D"/>
    <w:rsid w:val="00D56852"/>
    <w:rsid w:val="00D713F8"/>
    <w:rsid w:val="00D75DB9"/>
    <w:rsid w:val="00D8153E"/>
    <w:rsid w:val="00D85B67"/>
    <w:rsid w:val="00D90B39"/>
    <w:rsid w:val="00D920F5"/>
    <w:rsid w:val="00D95E75"/>
    <w:rsid w:val="00DA0911"/>
    <w:rsid w:val="00DA47BE"/>
    <w:rsid w:val="00DA6C74"/>
    <w:rsid w:val="00DC0060"/>
    <w:rsid w:val="00DC1640"/>
    <w:rsid w:val="00DC6DE6"/>
    <w:rsid w:val="00DD47F0"/>
    <w:rsid w:val="00DD5748"/>
    <w:rsid w:val="00DE4525"/>
    <w:rsid w:val="00DE6F75"/>
    <w:rsid w:val="00E01FC2"/>
    <w:rsid w:val="00E04507"/>
    <w:rsid w:val="00E17B9F"/>
    <w:rsid w:val="00E20D34"/>
    <w:rsid w:val="00E2300C"/>
    <w:rsid w:val="00E30A6A"/>
    <w:rsid w:val="00E331EE"/>
    <w:rsid w:val="00E336AC"/>
    <w:rsid w:val="00E42B3B"/>
    <w:rsid w:val="00E54CBD"/>
    <w:rsid w:val="00E7448D"/>
    <w:rsid w:val="00E7508A"/>
    <w:rsid w:val="00E750F4"/>
    <w:rsid w:val="00E80695"/>
    <w:rsid w:val="00E828FC"/>
    <w:rsid w:val="00E90A97"/>
    <w:rsid w:val="00E94D65"/>
    <w:rsid w:val="00EA125A"/>
    <w:rsid w:val="00EA3FF2"/>
    <w:rsid w:val="00ED1354"/>
    <w:rsid w:val="00ED3D42"/>
    <w:rsid w:val="00ED53BA"/>
    <w:rsid w:val="00ED61E3"/>
    <w:rsid w:val="00EE1CAA"/>
    <w:rsid w:val="00EF2A4E"/>
    <w:rsid w:val="00EF743A"/>
    <w:rsid w:val="00EF7DEE"/>
    <w:rsid w:val="00F005EB"/>
    <w:rsid w:val="00F04B45"/>
    <w:rsid w:val="00F04F3F"/>
    <w:rsid w:val="00F055CF"/>
    <w:rsid w:val="00F12DC2"/>
    <w:rsid w:val="00F15118"/>
    <w:rsid w:val="00F23813"/>
    <w:rsid w:val="00F250A8"/>
    <w:rsid w:val="00F25253"/>
    <w:rsid w:val="00F30B46"/>
    <w:rsid w:val="00F34BA9"/>
    <w:rsid w:val="00F34C9F"/>
    <w:rsid w:val="00F4101E"/>
    <w:rsid w:val="00F42E74"/>
    <w:rsid w:val="00F47C60"/>
    <w:rsid w:val="00F56F22"/>
    <w:rsid w:val="00F619EF"/>
    <w:rsid w:val="00F67F71"/>
    <w:rsid w:val="00F87E84"/>
    <w:rsid w:val="00F976B2"/>
    <w:rsid w:val="00FA22D3"/>
    <w:rsid w:val="00FA3BE9"/>
    <w:rsid w:val="00FB242A"/>
    <w:rsid w:val="00FB4A40"/>
    <w:rsid w:val="00FC1024"/>
    <w:rsid w:val="00FC6E8D"/>
    <w:rsid w:val="00FF0C17"/>
    <w:rsid w:val="00FF4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88641"/>
  <w15:docId w15:val="{AD7A1067-63D1-B64A-BC8D-21D21AE9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D7"/>
  </w:style>
  <w:style w:type="paragraph" w:styleId="Heading1">
    <w:name w:val="heading 1"/>
    <w:basedOn w:val="Normal"/>
    <w:next w:val="Normal"/>
    <w:link w:val="Heading1Char"/>
    <w:uiPriority w:val="9"/>
    <w:qFormat/>
    <w:rsid w:val="00FF0C17"/>
    <w:pPr>
      <w:keepNext/>
      <w:keepLines/>
      <w:spacing w:before="120"/>
      <w:outlineLvl w:val="0"/>
    </w:pPr>
    <w:rPr>
      <w:rFonts w:ascii="Century Gothic" w:eastAsiaTheme="majorEastAsia" w:hAnsi="Century Gothic" w:cstheme="majorBidi"/>
      <w:b/>
      <w:color w:val="000000" w:themeColor="text1"/>
      <w:sz w:val="28"/>
      <w:szCs w:val="32"/>
    </w:rPr>
  </w:style>
  <w:style w:type="paragraph" w:styleId="Heading2">
    <w:name w:val="heading 2"/>
    <w:basedOn w:val="Normal"/>
    <w:next w:val="Normal"/>
    <w:link w:val="Heading2Char"/>
    <w:uiPriority w:val="9"/>
    <w:unhideWhenUsed/>
    <w:qFormat/>
    <w:rsid w:val="00FF0C17"/>
    <w:pPr>
      <w:keepNext/>
      <w:keepLines/>
      <w:spacing w:before="40"/>
      <w:outlineLvl w:val="1"/>
    </w:pPr>
    <w:rPr>
      <w:rFonts w:ascii="Century Gothic" w:eastAsiaTheme="majorEastAsia" w:hAnsi="Century Gothic" w:cstheme="majorBidi"/>
      <w:color w:val="3B3838" w:themeColor="background2" w:themeShade="40"/>
      <w:sz w:val="28"/>
      <w:szCs w:val="26"/>
    </w:rPr>
  </w:style>
  <w:style w:type="paragraph" w:styleId="Heading3">
    <w:name w:val="heading 3"/>
    <w:aliases w:val="Heading 3 - 1C"/>
    <w:basedOn w:val="Normal"/>
    <w:next w:val="Normal"/>
    <w:link w:val="Heading3Char"/>
    <w:unhideWhenUsed/>
    <w:qFormat/>
    <w:rsid w:val="00F34BA9"/>
    <w:pPr>
      <w:keepNext/>
      <w:widowControl w:val="0"/>
      <w:autoSpaceDE w:val="0"/>
      <w:autoSpaceDN w:val="0"/>
      <w:adjustRightInd w:val="0"/>
      <w:outlineLvl w:val="2"/>
    </w:pPr>
    <w:rPr>
      <w:rFonts w:ascii="Century Gothic" w:eastAsiaTheme="majorEastAsia" w:hAnsi="Century Gothic" w:cstheme="majorBidi"/>
      <w:bCs/>
      <w:szCs w:val="26"/>
    </w:rPr>
  </w:style>
  <w:style w:type="paragraph" w:styleId="Heading4">
    <w:name w:val="heading 4"/>
    <w:basedOn w:val="Normal"/>
    <w:next w:val="Normal"/>
    <w:link w:val="Heading4Char"/>
    <w:uiPriority w:val="9"/>
    <w:semiHidden/>
    <w:unhideWhenUsed/>
    <w:qFormat/>
    <w:rsid w:val="00F34BA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172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C17"/>
    <w:rPr>
      <w:rFonts w:ascii="Century Gothic" w:eastAsiaTheme="majorEastAsia" w:hAnsi="Century Gothic" w:cstheme="majorBidi"/>
      <w:b/>
      <w:color w:val="000000" w:themeColor="text1"/>
      <w:sz w:val="28"/>
      <w:szCs w:val="32"/>
    </w:rPr>
  </w:style>
  <w:style w:type="paragraph" w:styleId="Title">
    <w:name w:val="Title"/>
    <w:basedOn w:val="Normal"/>
    <w:next w:val="Normal"/>
    <w:link w:val="TitleChar"/>
    <w:uiPriority w:val="10"/>
    <w:qFormat/>
    <w:rsid w:val="00FF0C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C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F0C17"/>
    <w:rPr>
      <w:rFonts w:ascii="Century Gothic" w:eastAsiaTheme="majorEastAsia" w:hAnsi="Century Gothic" w:cstheme="majorBidi"/>
      <w:color w:val="3B3838" w:themeColor="background2" w:themeShade="40"/>
      <w:sz w:val="28"/>
      <w:szCs w:val="26"/>
    </w:rPr>
  </w:style>
  <w:style w:type="character" w:customStyle="1" w:styleId="course-desc">
    <w:name w:val="course-desc"/>
    <w:basedOn w:val="DefaultParagraphFont"/>
    <w:rsid w:val="00FF0C17"/>
  </w:style>
  <w:style w:type="character" w:customStyle="1" w:styleId="Heading3Char">
    <w:name w:val="Heading 3 Char"/>
    <w:aliases w:val="Heading 3 - 1C Char"/>
    <w:basedOn w:val="DefaultParagraphFont"/>
    <w:link w:val="Heading3"/>
    <w:rsid w:val="00F34BA9"/>
    <w:rPr>
      <w:rFonts w:ascii="Century Gothic" w:eastAsiaTheme="majorEastAsia" w:hAnsi="Century Gothic" w:cstheme="majorBidi"/>
      <w:bCs/>
      <w:szCs w:val="26"/>
    </w:rPr>
  </w:style>
  <w:style w:type="paragraph" w:styleId="ListParagraph">
    <w:name w:val="List Paragraph"/>
    <w:basedOn w:val="Normal"/>
    <w:uiPriority w:val="34"/>
    <w:qFormat/>
    <w:rsid w:val="00E331EE"/>
    <w:pPr>
      <w:ind w:left="720"/>
      <w:contextualSpacing/>
    </w:pPr>
  </w:style>
  <w:style w:type="character" w:styleId="Hyperlink">
    <w:name w:val="Hyperlink"/>
    <w:basedOn w:val="DefaultParagraphFont"/>
    <w:uiPriority w:val="99"/>
    <w:unhideWhenUsed/>
    <w:rsid w:val="00741E00"/>
    <w:rPr>
      <w:color w:val="0563C1" w:themeColor="hyperlink"/>
      <w:u w:val="single"/>
    </w:rPr>
  </w:style>
  <w:style w:type="table" w:styleId="TableGrid">
    <w:name w:val="Table Grid"/>
    <w:basedOn w:val="TableNormal"/>
    <w:uiPriority w:val="39"/>
    <w:rsid w:val="0064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6F22"/>
    <w:rPr>
      <w:rFonts w:ascii="Century Gothic" w:hAnsi="Century Gothic" w:cs="Arial"/>
      <w:b/>
      <w:bCs/>
      <w:color w:val="000000"/>
    </w:rPr>
  </w:style>
  <w:style w:type="paragraph" w:styleId="BalloonText">
    <w:name w:val="Balloon Text"/>
    <w:basedOn w:val="Normal"/>
    <w:link w:val="BalloonTextChar"/>
    <w:uiPriority w:val="99"/>
    <w:semiHidden/>
    <w:unhideWhenUsed/>
    <w:rsid w:val="0069792D"/>
    <w:rPr>
      <w:rFonts w:ascii="Tahoma" w:hAnsi="Tahoma" w:cs="Tahoma"/>
      <w:sz w:val="16"/>
      <w:szCs w:val="16"/>
    </w:rPr>
  </w:style>
  <w:style w:type="character" w:customStyle="1" w:styleId="BalloonTextChar">
    <w:name w:val="Balloon Text Char"/>
    <w:basedOn w:val="DefaultParagraphFont"/>
    <w:link w:val="BalloonText"/>
    <w:uiPriority w:val="99"/>
    <w:semiHidden/>
    <w:rsid w:val="0069792D"/>
    <w:rPr>
      <w:rFonts w:ascii="Tahoma" w:hAnsi="Tahoma" w:cs="Tahoma"/>
      <w:sz w:val="16"/>
      <w:szCs w:val="16"/>
    </w:rPr>
  </w:style>
  <w:style w:type="paragraph" w:styleId="Header">
    <w:name w:val="header"/>
    <w:basedOn w:val="Normal"/>
    <w:link w:val="HeaderChar"/>
    <w:uiPriority w:val="99"/>
    <w:unhideWhenUsed/>
    <w:rsid w:val="00692EE7"/>
    <w:pPr>
      <w:tabs>
        <w:tab w:val="center" w:pos="4680"/>
        <w:tab w:val="right" w:pos="9360"/>
      </w:tabs>
    </w:pPr>
  </w:style>
  <w:style w:type="character" w:customStyle="1" w:styleId="HeaderChar">
    <w:name w:val="Header Char"/>
    <w:basedOn w:val="DefaultParagraphFont"/>
    <w:link w:val="Header"/>
    <w:uiPriority w:val="99"/>
    <w:rsid w:val="00692EE7"/>
  </w:style>
  <w:style w:type="paragraph" w:styleId="Footer">
    <w:name w:val="footer"/>
    <w:basedOn w:val="Normal"/>
    <w:link w:val="FooterChar"/>
    <w:uiPriority w:val="99"/>
    <w:unhideWhenUsed/>
    <w:rsid w:val="00692EE7"/>
    <w:pPr>
      <w:tabs>
        <w:tab w:val="center" w:pos="4680"/>
        <w:tab w:val="right" w:pos="9360"/>
      </w:tabs>
    </w:pPr>
  </w:style>
  <w:style w:type="character" w:customStyle="1" w:styleId="FooterChar">
    <w:name w:val="Footer Char"/>
    <w:basedOn w:val="DefaultParagraphFont"/>
    <w:link w:val="Footer"/>
    <w:uiPriority w:val="99"/>
    <w:rsid w:val="00692EE7"/>
  </w:style>
  <w:style w:type="character" w:styleId="CommentReference">
    <w:name w:val="annotation reference"/>
    <w:basedOn w:val="DefaultParagraphFont"/>
    <w:uiPriority w:val="99"/>
    <w:semiHidden/>
    <w:unhideWhenUsed/>
    <w:rsid w:val="0027359E"/>
    <w:rPr>
      <w:sz w:val="16"/>
      <w:szCs w:val="16"/>
    </w:rPr>
  </w:style>
  <w:style w:type="paragraph" w:styleId="CommentText">
    <w:name w:val="annotation text"/>
    <w:basedOn w:val="Normal"/>
    <w:link w:val="CommentTextChar"/>
    <w:uiPriority w:val="99"/>
    <w:semiHidden/>
    <w:unhideWhenUsed/>
    <w:rsid w:val="0027359E"/>
    <w:rPr>
      <w:sz w:val="20"/>
      <w:szCs w:val="20"/>
    </w:rPr>
  </w:style>
  <w:style w:type="character" w:customStyle="1" w:styleId="CommentTextChar">
    <w:name w:val="Comment Text Char"/>
    <w:basedOn w:val="DefaultParagraphFont"/>
    <w:link w:val="CommentText"/>
    <w:uiPriority w:val="99"/>
    <w:semiHidden/>
    <w:rsid w:val="0027359E"/>
    <w:rPr>
      <w:sz w:val="20"/>
      <w:szCs w:val="20"/>
    </w:rPr>
  </w:style>
  <w:style w:type="paragraph" w:styleId="CommentSubject">
    <w:name w:val="annotation subject"/>
    <w:basedOn w:val="CommentText"/>
    <w:next w:val="CommentText"/>
    <w:link w:val="CommentSubjectChar"/>
    <w:uiPriority w:val="99"/>
    <w:semiHidden/>
    <w:unhideWhenUsed/>
    <w:rsid w:val="0027359E"/>
    <w:rPr>
      <w:b/>
      <w:bCs/>
    </w:rPr>
  </w:style>
  <w:style w:type="character" w:customStyle="1" w:styleId="CommentSubjectChar">
    <w:name w:val="Comment Subject Char"/>
    <w:basedOn w:val="CommentTextChar"/>
    <w:link w:val="CommentSubject"/>
    <w:uiPriority w:val="99"/>
    <w:semiHidden/>
    <w:rsid w:val="0027359E"/>
    <w:rPr>
      <w:b/>
      <w:bCs/>
      <w:sz w:val="20"/>
      <w:szCs w:val="20"/>
    </w:rPr>
  </w:style>
  <w:style w:type="character" w:customStyle="1" w:styleId="UnresolvedMention1">
    <w:name w:val="Unresolved Mention1"/>
    <w:basedOn w:val="DefaultParagraphFont"/>
    <w:uiPriority w:val="99"/>
    <w:semiHidden/>
    <w:unhideWhenUsed/>
    <w:rsid w:val="007F463E"/>
    <w:rPr>
      <w:color w:val="605E5C"/>
      <w:shd w:val="clear" w:color="auto" w:fill="E1DFDD"/>
    </w:rPr>
  </w:style>
  <w:style w:type="character" w:styleId="FollowedHyperlink">
    <w:name w:val="FollowedHyperlink"/>
    <w:basedOn w:val="DefaultParagraphFont"/>
    <w:uiPriority w:val="99"/>
    <w:semiHidden/>
    <w:unhideWhenUsed/>
    <w:rsid w:val="00376A3F"/>
    <w:rPr>
      <w:color w:val="954F72" w:themeColor="followedHyperlink"/>
      <w:u w:val="single"/>
    </w:rPr>
  </w:style>
  <w:style w:type="character" w:customStyle="1" w:styleId="UnresolvedMention2">
    <w:name w:val="Unresolved Mention2"/>
    <w:basedOn w:val="DefaultParagraphFont"/>
    <w:uiPriority w:val="99"/>
    <w:semiHidden/>
    <w:unhideWhenUsed/>
    <w:rsid w:val="000E7149"/>
    <w:rPr>
      <w:color w:val="605E5C"/>
      <w:shd w:val="clear" w:color="auto" w:fill="E1DFDD"/>
    </w:rPr>
  </w:style>
  <w:style w:type="character" w:styleId="UnresolvedMention">
    <w:name w:val="Unresolved Mention"/>
    <w:basedOn w:val="DefaultParagraphFont"/>
    <w:uiPriority w:val="99"/>
    <w:semiHidden/>
    <w:unhideWhenUsed/>
    <w:rsid w:val="00BD57FB"/>
    <w:rPr>
      <w:color w:val="605E5C"/>
      <w:shd w:val="clear" w:color="auto" w:fill="E1DFDD"/>
    </w:rPr>
  </w:style>
  <w:style w:type="paragraph" w:styleId="NormalWeb">
    <w:name w:val="Normal (Web)"/>
    <w:basedOn w:val="Normal"/>
    <w:uiPriority w:val="99"/>
    <w:semiHidden/>
    <w:unhideWhenUsed/>
    <w:rsid w:val="00482629"/>
    <w:pPr>
      <w:spacing w:before="100" w:beforeAutospacing="1" w:after="100" w:afterAutospacing="1"/>
    </w:pPr>
    <w:rPr>
      <w:rFonts w:ascii="Times New Roman" w:eastAsia="Times New Roman" w:hAnsi="Times New Roman" w:cs="Times New Roman"/>
      <w:lang w:val="en-CA"/>
    </w:rPr>
  </w:style>
  <w:style w:type="paragraph" w:styleId="Revision">
    <w:name w:val="Revision"/>
    <w:hidden/>
    <w:uiPriority w:val="99"/>
    <w:semiHidden/>
    <w:rsid w:val="005D7E0A"/>
  </w:style>
  <w:style w:type="paragraph" w:customStyle="1" w:styleId="Heading4-1C">
    <w:name w:val="Heading 4 - 1C"/>
    <w:basedOn w:val="Heading4"/>
    <w:qFormat/>
    <w:rsid w:val="00F34BA9"/>
    <w:pPr>
      <w:spacing w:before="240"/>
    </w:pPr>
    <w:rPr>
      <w:rFonts w:ascii="Calibri" w:hAnsi="Calibri"/>
      <w:b/>
      <w:i w:val="0"/>
      <w:color w:val="auto"/>
    </w:rPr>
  </w:style>
  <w:style w:type="paragraph" w:customStyle="1" w:styleId="Heading5-1C">
    <w:name w:val="Heading 5 - 1 C"/>
    <w:basedOn w:val="Heading5"/>
    <w:qFormat/>
    <w:rsid w:val="00A3172F"/>
    <w:pPr>
      <w:spacing w:before="240"/>
    </w:pPr>
    <w:rPr>
      <w:rFonts w:asciiTheme="minorHAnsi" w:hAnsiTheme="minorHAnsi" w:cstheme="minorHAnsi"/>
      <w:b/>
      <w:color w:val="auto"/>
      <w:sz w:val="26"/>
    </w:rPr>
  </w:style>
  <w:style w:type="character" w:customStyle="1" w:styleId="Heading4Char">
    <w:name w:val="Heading 4 Char"/>
    <w:basedOn w:val="DefaultParagraphFont"/>
    <w:link w:val="Heading4"/>
    <w:uiPriority w:val="9"/>
    <w:semiHidden/>
    <w:rsid w:val="00F34B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3172F"/>
    <w:rPr>
      <w:rFonts w:asciiTheme="majorHAnsi" w:eastAsiaTheme="majorEastAsia" w:hAnsiTheme="majorHAnsi" w:cstheme="majorBidi"/>
      <w:color w:val="2E74B5" w:themeColor="accent1" w:themeShade="BF"/>
    </w:rPr>
  </w:style>
  <w:style w:type="numbering" w:customStyle="1" w:styleId="CurrentList1">
    <w:name w:val="Current List1"/>
    <w:uiPriority w:val="99"/>
    <w:rsid w:val="00A3172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0092">
      <w:bodyDiv w:val="1"/>
      <w:marLeft w:val="0"/>
      <w:marRight w:val="0"/>
      <w:marTop w:val="0"/>
      <w:marBottom w:val="0"/>
      <w:divBdr>
        <w:top w:val="none" w:sz="0" w:space="0" w:color="auto"/>
        <w:left w:val="none" w:sz="0" w:space="0" w:color="auto"/>
        <w:bottom w:val="none" w:sz="0" w:space="0" w:color="auto"/>
        <w:right w:val="none" w:sz="0" w:space="0" w:color="auto"/>
      </w:divBdr>
    </w:div>
    <w:div w:id="1466964838">
      <w:bodyDiv w:val="1"/>
      <w:marLeft w:val="0"/>
      <w:marRight w:val="0"/>
      <w:marTop w:val="0"/>
      <w:marBottom w:val="0"/>
      <w:divBdr>
        <w:top w:val="none" w:sz="0" w:space="0" w:color="auto"/>
        <w:left w:val="none" w:sz="0" w:space="0" w:color="auto"/>
        <w:bottom w:val="none" w:sz="0" w:space="0" w:color="auto"/>
        <w:right w:val="none" w:sz="0" w:space="0" w:color="auto"/>
      </w:divBdr>
    </w:div>
    <w:div w:id="1492670840">
      <w:bodyDiv w:val="1"/>
      <w:marLeft w:val="0"/>
      <w:marRight w:val="0"/>
      <w:marTop w:val="0"/>
      <w:marBottom w:val="0"/>
      <w:divBdr>
        <w:top w:val="none" w:sz="0" w:space="0" w:color="auto"/>
        <w:left w:val="none" w:sz="0" w:space="0" w:color="auto"/>
        <w:bottom w:val="none" w:sz="0" w:space="0" w:color="auto"/>
        <w:right w:val="none" w:sz="0" w:space="0" w:color="auto"/>
      </w:divBdr>
      <w:divsChild>
        <w:div w:id="2049988666">
          <w:marLeft w:val="0"/>
          <w:marRight w:val="0"/>
          <w:marTop w:val="0"/>
          <w:marBottom w:val="0"/>
          <w:divBdr>
            <w:top w:val="none" w:sz="0" w:space="0" w:color="auto"/>
            <w:left w:val="none" w:sz="0" w:space="0" w:color="auto"/>
            <w:bottom w:val="none" w:sz="0" w:space="0" w:color="auto"/>
            <w:right w:val="none" w:sz="0" w:space="0" w:color="auto"/>
          </w:divBdr>
          <w:divsChild>
            <w:div w:id="895508156">
              <w:marLeft w:val="0"/>
              <w:marRight w:val="0"/>
              <w:marTop w:val="0"/>
              <w:marBottom w:val="0"/>
              <w:divBdr>
                <w:top w:val="none" w:sz="0" w:space="0" w:color="auto"/>
                <w:left w:val="none" w:sz="0" w:space="0" w:color="auto"/>
                <w:bottom w:val="none" w:sz="0" w:space="0" w:color="auto"/>
                <w:right w:val="none" w:sz="0" w:space="0" w:color="auto"/>
              </w:divBdr>
              <w:divsChild>
                <w:div w:id="6139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3737">
      <w:bodyDiv w:val="1"/>
      <w:marLeft w:val="0"/>
      <w:marRight w:val="0"/>
      <w:marTop w:val="0"/>
      <w:marBottom w:val="0"/>
      <w:divBdr>
        <w:top w:val="none" w:sz="0" w:space="0" w:color="auto"/>
        <w:left w:val="none" w:sz="0" w:space="0" w:color="auto"/>
        <w:bottom w:val="none" w:sz="0" w:space="0" w:color="auto"/>
        <w:right w:val="none" w:sz="0" w:space="0" w:color="auto"/>
      </w:divBdr>
    </w:div>
    <w:div w:id="1586301005">
      <w:bodyDiv w:val="1"/>
      <w:marLeft w:val="0"/>
      <w:marRight w:val="0"/>
      <w:marTop w:val="0"/>
      <w:marBottom w:val="0"/>
      <w:divBdr>
        <w:top w:val="none" w:sz="0" w:space="0" w:color="auto"/>
        <w:left w:val="none" w:sz="0" w:space="0" w:color="auto"/>
        <w:bottom w:val="none" w:sz="0" w:space="0" w:color="auto"/>
        <w:right w:val="none" w:sz="0" w:space="0" w:color="auto"/>
      </w:divBdr>
    </w:div>
    <w:div w:id="1957788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7202/1050855ar" TargetMode="External"/><Relationship Id="rId18" Type="http://schemas.openxmlformats.org/officeDocument/2006/relationships/hyperlink" Target="https://secretariat.mcmaster.ca/university-policies-procedures-%20guidelines/" TargetMode="External"/><Relationship Id="rId26" Type="http://schemas.openxmlformats.org/officeDocument/2006/relationships/hyperlink" Target="https://artsci.mcmaster.ca/forms-requests/" TargetMode="External"/><Relationship Id="rId3" Type="http://schemas.openxmlformats.org/officeDocument/2006/relationships/styles" Target="styles.xml"/><Relationship Id="rId21" Type="http://schemas.openxmlformats.org/officeDocument/2006/relationships/hyperlink" Target="https://sas.mcmaster.ca/" TargetMode="External"/><Relationship Id="rId7" Type="http://schemas.openxmlformats.org/officeDocument/2006/relationships/endnotes" Target="endnotes.xml"/><Relationship Id="rId12" Type="http://schemas.openxmlformats.org/officeDocument/2006/relationships/hyperlink" Target="https://doi.org/10.7202/1050851ar" TargetMode="External"/><Relationship Id="rId17" Type="http://schemas.openxmlformats.org/officeDocument/2006/relationships/hyperlink" Target="https://secretariat.mcmaster.ca/app/uploads/Academic-Integrity-Policy-1-1.pdf" TargetMode="External"/><Relationship Id="rId25"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numbering" Target="numbering.xml"/><Relationship Id="rId16" Type="http://schemas.openxmlformats.org/officeDocument/2006/relationships/hyperlink" Target="http://activehistory.ca/2016/01/political-depression-in-a-time-of-reconciliation/" TargetMode="External"/><Relationship Id="rId20" Type="http://schemas.openxmlformats.org/officeDocument/2006/relationships/hyperlink" Target="https://secretariat.mcmaster.ca/app/uploads/Code-of-Student-Rights-and-Responsibiliti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t92@mcmaster.ca" TargetMode="External"/><Relationship Id="rId24" Type="http://schemas.openxmlformats.org/officeDocument/2006/relationships/hyperlink" Target="https://secretariat.mcmaster.ca/app/uploads/Requests-for-Relief-for-Missed-Academic-Term-Work-Policy-on.pdf" TargetMode="External"/><Relationship Id="rId5" Type="http://schemas.openxmlformats.org/officeDocument/2006/relationships/webSettings" Target="webSettings.xml"/><Relationship Id="rId15" Type="http://schemas.openxmlformats.org/officeDocument/2006/relationships/hyperlink" Target="https://www2.gov.bc.ca/assets/gov/british-columbians-our-governments/indigenous-people/aboriginal-peoples-documents/calls_to_action_english2.pdf" TargetMode="External"/><Relationship Id="rId23" Type="http://schemas.openxmlformats.org/officeDocument/2006/relationships/hyperlink" Target="https://secretariat.mcmaster.ca/app/uploads/Academic-Accommodations-Policy.pdf" TargetMode="External"/><Relationship Id="rId28" Type="http://schemas.openxmlformats.org/officeDocument/2006/relationships/fontTable" Target="fontTable.xml"/><Relationship Id="rId10" Type="http://schemas.openxmlformats.org/officeDocument/2006/relationships/hyperlink" Target="mailto:msavelli@mcmaster.ca" TargetMode="External"/><Relationship Id="rId19" Type="http://schemas.openxmlformats.org/officeDocument/2006/relationships/hyperlink" Target="https://mcmasteru365-my.sharepoint.com/personal/rbishop_mcmaster_ca/Documents/www.mcmaster.ca/academicintegrity" TargetMode="External"/><Relationship Id="rId4" Type="http://schemas.openxmlformats.org/officeDocument/2006/relationships/settings" Target="settings.xml"/><Relationship Id="rId9" Type="http://schemas.openxmlformats.org/officeDocument/2006/relationships/hyperlink" Target="mailto:marquie@mcmaster.ca" TargetMode="External"/><Relationship Id="rId14" Type="http://schemas.openxmlformats.org/officeDocument/2006/relationships/hyperlink" Target="https://earlymoderntexts.com/assets/pdfs/voltaire1763.pdf" TargetMode="External"/><Relationship Id="rId22" Type="http://schemas.openxmlformats.org/officeDocument/2006/relationships/hyperlink" Target="mailto:sas@mcmaster.ca" TargetMode="External"/><Relationship Id="rId27" Type="http://schemas.openxmlformats.org/officeDocument/2006/relationships/hyperlink" Target="https://artsci.mcmaster.ca/current-student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7AEF-9A21-432A-9C17-C926B44D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4036</Words>
  <Characters>23050</Characters>
  <Application>Microsoft Office Word</Application>
  <DocSecurity>0</DocSecurity>
  <Lines>606</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Marquis</cp:lastModifiedBy>
  <cp:revision>7</cp:revision>
  <cp:lastPrinted>2020-08-13T16:00:00Z</cp:lastPrinted>
  <dcterms:created xsi:type="dcterms:W3CDTF">2022-08-30T19:30:00Z</dcterms:created>
  <dcterms:modified xsi:type="dcterms:W3CDTF">2022-09-20T18:45:00Z</dcterms:modified>
</cp:coreProperties>
</file>